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4E" w:rsidRPr="00E07FE7" w:rsidRDefault="00E07FE7" w:rsidP="0063654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lang w:val="en-US"/>
        </w:rPr>
      </w:pPr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Appendix to the </w:t>
      </w:r>
      <w:r>
        <w:rPr>
          <w:rFonts w:ascii="Times New Roman" w:hAnsi="Times New Roman" w:cs="Times New Roman"/>
          <w:sz w:val="21"/>
          <w:szCs w:val="21"/>
          <w:lang w:val="en-US"/>
        </w:rPr>
        <w:t>O</w:t>
      </w:r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rder of the Department of the Committee for Regulation of Natural Monopolies and Protection of Competition of the Ministry of National Economy of the Republic of Kazakhstan in </w:t>
      </w:r>
      <w:proofErr w:type="spellStart"/>
      <w:r w:rsidRPr="00E07FE7">
        <w:rPr>
          <w:rFonts w:ascii="Times New Roman" w:hAnsi="Times New Roman" w:cs="Times New Roman"/>
          <w:sz w:val="21"/>
          <w:szCs w:val="21"/>
          <w:lang w:val="en-US"/>
        </w:rPr>
        <w:t>Mangistau</w:t>
      </w:r>
      <w:proofErr w:type="spellEnd"/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750E55">
        <w:rPr>
          <w:rFonts w:ascii="Times New Roman" w:hAnsi="Times New Roman" w:cs="Times New Roman"/>
          <w:sz w:val="21"/>
          <w:szCs w:val="21"/>
          <w:lang w:val="en-US"/>
        </w:rPr>
        <w:t>Region</w:t>
      </w:r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 No. 137-OD </w:t>
      </w:r>
      <w:r>
        <w:rPr>
          <w:rFonts w:ascii="Times New Roman" w:hAnsi="Times New Roman" w:cs="Times New Roman"/>
          <w:sz w:val="21"/>
          <w:szCs w:val="21"/>
          <w:lang w:val="en-US"/>
        </w:rPr>
        <w:t>dated</w:t>
      </w:r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 December 12, 2016</w:t>
      </w:r>
    </w:p>
    <w:p w:rsidR="0063654E" w:rsidRPr="0063654E" w:rsidRDefault="0063654E" w:rsidP="0063654E">
      <w:pPr>
        <w:spacing w:after="0" w:line="240" w:lineRule="auto"/>
        <w:jc w:val="right"/>
        <w:rPr>
          <w:sz w:val="21"/>
          <w:szCs w:val="21"/>
          <w:lang w:val="en-US"/>
        </w:rPr>
      </w:pPr>
    </w:p>
    <w:p w:rsidR="0063654E" w:rsidRPr="00E07FE7" w:rsidRDefault="00E07FE7" w:rsidP="00636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Name of Entity</w:t>
      </w:r>
      <w:r w:rsidRPr="00E07FE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: </w:t>
      </w:r>
      <w:proofErr w:type="spellStart"/>
      <w:r w:rsidRPr="00E07FE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angistau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Power D</w:t>
      </w:r>
      <w:r w:rsidRPr="00E07FE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istribution 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</w:t>
      </w:r>
      <w:r w:rsidRPr="00E07FE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ompany</w:t>
      </w:r>
    </w:p>
    <w:p w:rsidR="0063654E" w:rsidRPr="0063654E" w:rsidRDefault="0063654E" w:rsidP="0063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654E" w:rsidRPr="00E07FE7" w:rsidRDefault="00E07FE7" w:rsidP="0063654E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E07FE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Tariff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E</w:t>
      </w:r>
      <w:r w:rsidRPr="00E07FE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stimate for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r w:rsidR="00C748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Power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Transmission and D</w:t>
      </w:r>
      <w:r w:rsidRPr="00E07FE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istribution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</w:t>
      </w:r>
      <w:r w:rsidRPr="00E07FE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ervices</w:t>
      </w:r>
    </w:p>
    <w:tbl>
      <w:tblPr>
        <w:tblW w:w="10130" w:type="dxa"/>
        <w:jc w:val="center"/>
        <w:tblInd w:w="-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3190"/>
        <w:gridCol w:w="741"/>
        <w:gridCol w:w="1186"/>
        <w:gridCol w:w="1134"/>
        <w:gridCol w:w="1134"/>
        <w:gridCol w:w="894"/>
        <w:gridCol w:w="1095"/>
      </w:tblGrid>
      <w:tr w:rsidR="0063654E" w:rsidRPr="0063654E" w:rsidTr="00FB7EA1">
        <w:trPr>
          <w:trHeight w:val="256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E07FE7" w:rsidP="00EF394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No.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E07FE7" w:rsidP="00EF394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Indicator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E07FE7" w:rsidP="00EF394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nit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54E" w:rsidRPr="0063654E" w:rsidRDefault="0063654E" w:rsidP="00EF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3654E" w:rsidRPr="00D341C7" w:rsidTr="00DF112A">
        <w:trPr>
          <w:trHeight w:val="1148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63654E" w:rsidP="0063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63654E" w:rsidP="00EF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63654E" w:rsidP="00EF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54E" w:rsidRPr="0063654E" w:rsidRDefault="0063654E" w:rsidP="00D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="00E07FE7" w:rsidRPr="00E07F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en-US" w:eastAsia="ru-RU"/>
              </w:rPr>
              <w:t>st</w:t>
            </w:r>
            <w:r w:rsidR="00E07F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year of project </w:t>
            </w:r>
            <w:proofErr w:type="spellStart"/>
            <w:r w:rsidR="00E07F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imple</w:t>
            </w:r>
            <w:proofErr w:type="spellEnd"/>
            <w:r w:rsidR="00E07F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-mentation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(2016</w:t>
            </w:r>
            <w:r w:rsid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August 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54E" w:rsidRPr="0063654E" w:rsidRDefault="0063654E" w:rsidP="00D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C74812"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en-US" w:eastAsia="ru-RU"/>
              </w:rPr>
              <w:t>nd</w:t>
            </w:r>
            <w:r w:rsidR="00C74812"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year of project </w:t>
            </w:r>
            <w:proofErr w:type="spellStart"/>
            <w:r w:rsid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imple</w:t>
            </w:r>
            <w:proofErr w:type="spellEnd"/>
            <w:r w:rsid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-mentation</w:t>
            </w:r>
            <w:r w:rsidR="00C74812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(2017) </w:t>
            </w:r>
            <w:r w:rsidR="00C74812"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emergency regulatory measure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54E" w:rsidRPr="0063654E" w:rsidRDefault="0063654E" w:rsidP="00D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  <w:r w:rsidR="00C74812"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en-US" w:eastAsia="ru-RU"/>
              </w:rPr>
              <w:t>rd</w:t>
            </w:r>
            <w:r w:rsid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year of project </w:t>
            </w:r>
            <w:proofErr w:type="spellStart"/>
            <w:r w:rsid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imple</w:t>
            </w:r>
            <w:proofErr w:type="spellEnd"/>
            <w:r w:rsid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-mentation</w:t>
            </w:r>
            <w:r w:rsidR="00C74812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(2018)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654E" w:rsidRPr="0063654E" w:rsidRDefault="00C74812" w:rsidP="00D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year of project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-mentation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(2019)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654E" w:rsidRPr="0063654E" w:rsidRDefault="0063654E" w:rsidP="00DF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C74812"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en-US" w:eastAsia="ru-RU"/>
              </w:rPr>
              <w:t>th</w:t>
            </w:r>
            <w:r w:rsid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year of project </w:t>
            </w:r>
            <w:proofErr w:type="spellStart"/>
            <w:r w:rsid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imple</w:t>
            </w:r>
            <w:proofErr w:type="spellEnd"/>
            <w:r w:rsid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-mentation</w:t>
            </w:r>
            <w:r w:rsidR="00C74812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(2020)</w:t>
            </w:r>
          </w:p>
        </w:tc>
      </w:tr>
      <w:tr w:rsidR="0063654E" w:rsidRPr="0063654E" w:rsidTr="00FB7EA1">
        <w:trPr>
          <w:trHeight w:val="263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63654E" w:rsidP="00EF394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IX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654E" w:rsidRPr="0063654E" w:rsidRDefault="00C74812" w:rsidP="006365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Average tariff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63654E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</w:tr>
      <w:tr w:rsidR="0063654E" w:rsidRPr="0063654E" w:rsidTr="00FB7EA1">
        <w:trPr>
          <w:trHeight w:val="698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63654E" w:rsidP="006365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Tariff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without VAT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for legal entities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tenge</w:t>
            </w:r>
            <w:proofErr w:type="spellEnd"/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63654E" w:rsidRPr="0063654E" w:rsidRDefault="00C74812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tiyn</w:t>
            </w:r>
            <w:proofErr w:type="spellEnd"/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</w:p>
          <w:p w:rsidR="0063654E" w:rsidRPr="0063654E" w:rsidRDefault="00C74812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kW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63654E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</w:tr>
      <w:tr w:rsidR="0063654E" w:rsidRPr="0063654E" w:rsidTr="00FB7EA1">
        <w:trPr>
          <w:trHeight w:val="691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63654E" w:rsidP="006365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Tariff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without VAT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for individuals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4812" w:rsidRPr="0063654E" w:rsidRDefault="00C74812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tenge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C74812" w:rsidRPr="0063654E" w:rsidRDefault="00C74812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tiyn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</w:p>
          <w:p w:rsidR="0063654E" w:rsidRPr="0063654E" w:rsidRDefault="00C74812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kW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</w:tr>
      <w:tr w:rsidR="0063654E" w:rsidRPr="0063654E" w:rsidTr="00FB7EA1">
        <w:trPr>
          <w:trHeight w:val="1638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654E" w:rsidRPr="0063654E" w:rsidRDefault="0063654E" w:rsidP="006365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D3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Tariff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without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VAT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for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111E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SP</w:t>
            </w:r>
            <w:r w:rsidR="00D341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proofErr w:type="spellEnd"/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rendering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services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power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transmission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and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distribution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and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for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Electrzhuyeleri</w:t>
            </w:r>
            <w:proofErr w:type="spellEnd"/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LLP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which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supplies </w:t>
            </w:r>
            <w:r w:rsidR="001C7E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power to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individuals (population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4812" w:rsidRPr="0063654E" w:rsidRDefault="00C74812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tenge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C74812" w:rsidRPr="0063654E" w:rsidRDefault="00C74812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tiyn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</w:p>
          <w:p w:rsidR="0063654E" w:rsidRPr="0063654E" w:rsidRDefault="00C74812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kW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654E" w:rsidRPr="0063654E" w:rsidRDefault="0063654E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54E" w:rsidRPr="0063654E" w:rsidRDefault="00C74812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="0063654E"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</w:tbl>
    <w:p w:rsidR="0063654E" w:rsidRPr="0063654E" w:rsidRDefault="0063654E" w:rsidP="0063654E">
      <w:pPr>
        <w:rPr>
          <w:lang w:val="en-US"/>
        </w:rPr>
      </w:pPr>
    </w:p>
    <w:sectPr w:rsidR="0063654E" w:rsidRPr="0063654E" w:rsidSect="00C7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4E"/>
    <w:rsid w:val="00111E6A"/>
    <w:rsid w:val="001C7EB6"/>
    <w:rsid w:val="00292225"/>
    <w:rsid w:val="0063654E"/>
    <w:rsid w:val="00750E55"/>
    <w:rsid w:val="00C74812"/>
    <w:rsid w:val="00D341C7"/>
    <w:rsid w:val="00DF112A"/>
    <w:rsid w:val="00E07FE7"/>
    <w:rsid w:val="00EF3942"/>
    <w:rsid w:val="00F16B63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9</cp:revision>
  <dcterms:created xsi:type="dcterms:W3CDTF">2019-04-16T11:25:00Z</dcterms:created>
  <dcterms:modified xsi:type="dcterms:W3CDTF">2019-04-16T15:12:00Z</dcterms:modified>
</cp:coreProperties>
</file>