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4E" w:rsidRPr="00E07FE7" w:rsidRDefault="00E07FE7" w:rsidP="0063654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val="en-US"/>
        </w:rPr>
      </w:pP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Appendix to the </w:t>
      </w:r>
      <w:r>
        <w:rPr>
          <w:rFonts w:ascii="Times New Roman" w:hAnsi="Times New Roman" w:cs="Times New Roman"/>
          <w:sz w:val="21"/>
          <w:szCs w:val="21"/>
          <w:lang w:val="en-US"/>
        </w:rPr>
        <w:t>O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rder of the Department of the Committee for Regulation of Natural Monopolies and Protection of Competition of the Ministry of National Economy of the Republic of Kazakhstan in </w:t>
      </w:r>
      <w:proofErr w:type="spellStart"/>
      <w:r w:rsidRPr="00E07FE7">
        <w:rPr>
          <w:rFonts w:ascii="Times New Roman" w:hAnsi="Times New Roman" w:cs="Times New Roman"/>
          <w:sz w:val="21"/>
          <w:szCs w:val="21"/>
          <w:lang w:val="en-US"/>
        </w:rPr>
        <w:t>Mangistau</w:t>
      </w:r>
      <w:proofErr w:type="spellEnd"/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D112F9">
        <w:rPr>
          <w:rFonts w:ascii="Times New Roman" w:hAnsi="Times New Roman" w:cs="Times New Roman"/>
          <w:sz w:val="21"/>
          <w:szCs w:val="21"/>
          <w:lang w:val="en-US"/>
        </w:rPr>
        <w:t>Region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No. </w:t>
      </w:r>
      <w:r w:rsidR="00BC2937">
        <w:rPr>
          <w:rFonts w:ascii="Times New Roman" w:hAnsi="Times New Roman" w:cs="Times New Roman"/>
          <w:sz w:val="21"/>
          <w:szCs w:val="21"/>
          <w:lang w:val="en-US"/>
        </w:rPr>
        <w:t>93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-OD </w:t>
      </w:r>
      <w:r>
        <w:rPr>
          <w:rFonts w:ascii="Times New Roman" w:hAnsi="Times New Roman" w:cs="Times New Roman"/>
          <w:sz w:val="21"/>
          <w:szCs w:val="21"/>
          <w:lang w:val="en-US"/>
        </w:rPr>
        <w:t>dated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="00BC2937">
        <w:rPr>
          <w:rFonts w:ascii="Times New Roman" w:hAnsi="Times New Roman" w:cs="Times New Roman"/>
          <w:sz w:val="21"/>
          <w:szCs w:val="21"/>
          <w:lang w:val="en-US"/>
        </w:rPr>
        <w:t>July 20</w:t>
      </w:r>
      <w:r w:rsidRPr="00E07FE7">
        <w:rPr>
          <w:rFonts w:ascii="Times New Roman" w:hAnsi="Times New Roman" w:cs="Times New Roman"/>
          <w:sz w:val="21"/>
          <w:szCs w:val="21"/>
          <w:lang w:val="en-US"/>
        </w:rPr>
        <w:t>, 2016</w:t>
      </w:r>
    </w:p>
    <w:p w:rsidR="0063654E" w:rsidRPr="0063654E" w:rsidRDefault="0063654E" w:rsidP="0063654E">
      <w:pPr>
        <w:spacing w:after="0" w:line="240" w:lineRule="auto"/>
        <w:jc w:val="right"/>
        <w:rPr>
          <w:sz w:val="21"/>
          <w:szCs w:val="21"/>
          <w:lang w:val="en-US"/>
        </w:rPr>
      </w:pPr>
    </w:p>
    <w:p w:rsidR="0063654E" w:rsidRPr="00E07FE7" w:rsidRDefault="00E07FE7" w:rsidP="00636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Name of Entity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: </w:t>
      </w:r>
      <w:proofErr w:type="spellStart"/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angistau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Power D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istribution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</w:t>
      </w:r>
      <w:r w:rsidRPr="00E07FE7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ompany</w:t>
      </w:r>
    </w:p>
    <w:p w:rsidR="0063654E" w:rsidRPr="0063654E" w:rsidRDefault="0063654E" w:rsidP="00636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654E" w:rsidRPr="00E07FE7" w:rsidRDefault="00E07FE7" w:rsidP="0063654E">
      <w:pP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Tariff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stimate for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r w:rsidR="00C74812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Power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Transmission and D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istribution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</w:t>
      </w:r>
      <w:r w:rsidRPr="00E07FE7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ervices</w:t>
      </w:r>
    </w:p>
    <w:tbl>
      <w:tblPr>
        <w:tblW w:w="11316" w:type="dxa"/>
        <w:jc w:val="center"/>
        <w:tblInd w:w="-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3190"/>
        <w:gridCol w:w="741"/>
        <w:gridCol w:w="1186"/>
        <w:gridCol w:w="1186"/>
        <w:gridCol w:w="1134"/>
        <w:gridCol w:w="1134"/>
        <w:gridCol w:w="894"/>
        <w:gridCol w:w="1095"/>
      </w:tblGrid>
      <w:tr w:rsidR="00BC2937" w:rsidRPr="0063654E" w:rsidTr="00BC2937">
        <w:trPr>
          <w:trHeight w:val="2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No.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Indicator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EF394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Unit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937" w:rsidRPr="0063654E" w:rsidRDefault="00BC2937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937" w:rsidRPr="0063654E" w:rsidRDefault="00BC2937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C2937" w:rsidRPr="009B70A7" w:rsidTr="0059152C">
        <w:trPr>
          <w:trHeight w:val="114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636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EF3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 the whole period of project implement-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 including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937" w:rsidRPr="0063654E" w:rsidRDefault="00BC2937" w:rsidP="0059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E07FE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(2016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August 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937" w:rsidRPr="0063654E" w:rsidRDefault="00BC2937" w:rsidP="0059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nd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year of project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(2017) 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emergency regulatory measure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937" w:rsidRPr="0063654E" w:rsidRDefault="00BC2937" w:rsidP="0059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(2018)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2937" w:rsidRPr="0063654E" w:rsidRDefault="00BC2937" w:rsidP="0059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(2019)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2937" w:rsidRPr="0063654E" w:rsidRDefault="00BC2937" w:rsidP="0059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perscript"/>
                <w:lang w:val="en-US" w:eastAsia="ru-RU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year of project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-mentation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(2020)</w:t>
            </w:r>
          </w:p>
        </w:tc>
      </w:tr>
      <w:tr w:rsidR="00BC2937" w:rsidRPr="0063654E" w:rsidTr="00BC2937">
        <w:trPr>
          <w:trHeight w:val="69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D112F9" w:rsidRDefault="00BC2937" w:rsidP="006365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C7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 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 legal entities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2937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4.67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</w:tr>
      <w:tr w:rsidR="00BC2937" w:rsidRPr="0063654E" w:rsidTr="00BC2937">
        <w:trPr>
          <w:trHeight w:val="69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BC2937" w:rsidRDefault="004475AE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C7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 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 individuals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2937" w:rsidRPr="00BC2937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2.34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</w:tr>
      <w:tr w:rsidR="00BC2937" w:rsidRPr="0063654E" w:rsidTr="00BC2937">
        <w:trPr>
          <w:trHeight w:val="163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6365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9B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Tariff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without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VAT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SP</w:t>
            </w:r>
            <w:r w:rsidR="009B70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proofErr w:type="spellEnd"/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rendering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services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power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transmission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and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distribution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and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for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Electrzhuyeleri</w:t>
            </w:r>
            <w:proofErr w:type="spellEnd"/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LLP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which</w:t>
            </w:r>
            <w:r w:rsidRPr="00C748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supplies power to individuals (population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tenge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tiyn</w:t>
            </w:r>
            <w:proofErr w:type="spellEnd"/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</w:p>
          <w:p w:rsidR="00BC2937" w:rsidRPr="0063654E" w:rsidRDefault="00BC2937" w:rsidP="00C74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kW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937" w:rsidRPr="00BC2937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2.95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2937" w:rsidRPr="0063654E" w:rsidRDefault="00BC2937" w:rsidP="00BC2937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 w:rsidRPr="006365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</w:tbl>
    <w:p w:rsidR="0063654E" w:rsidRPr="0063654E" w:rsidRDefault="0063654E" w:rsidP="0063654E">
      <w:pPr>
        <w:rPr>
          <w:lang w:val="en-US"/>
        </w:rPr>
      </w:pPr>
    </w:p>
    <w:sectPr w:rsidR="0063654E" w:rsidRPr="0063654E" w:rsidSect="00BC2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4E"/>
    <w:rsid w:val="00111E6A"/>
    <w:rsid w:val="00117DC8"/>
    <w:rsid w:val="001C7EB6"/>
    <w:rsid w:val="00292225"/>
    <w:rsid w:val="004475AE"/>
    <w:rsid w:val="0059152C"/>
    <w:rsid w:val="0063654E"/>
    <w:rsid w:val="009B70A7"/>
    <w:rsid w:val="00BC2937"/>
    <w:rsid w:val="00C74812"/>
    <w:rsid w:val="00D112F9"/>
    <w:rsid w:val="00E07FE7"/>
    <w:rsid w:val="00EF3942"/>
    <w:rsid w:val="00F16B63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2019-04-16T13:11:00Z</dcterms:created>
  <dcterms:modified xsi:type="dcterms:W3CDTF">2019-04-16T15:12:00Z</dcterms:modified>
</cp:coreProperties>
</file>