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AD" w:rsidRDefault="002108AD">
      <w:pPr>
        <w:ind w:right="-6"/>
        <w:jc w:val="center"/>
        <w:rPr>
          <w:rFonts w:eastAsia="Times New Roman"/>
          <w:b/>
          <w:bCs/>
          <w:sz w:val="24"/>
          <w:szCs w:val="24"/>
          <w:lang w:val="en-US"/>
        </w:rPr>
      </w:pPr>
      <w:r w:rsidRPr="002108AD">
        <w:rPr>
          <w:rFonts w:eastAsia="Times New Roman"/>
          <w:b/>
          <w:bCs/>
          <w:sz w:val="24"/>
          <w:szCs w:val="24"/>
        </w:rPr>
        <w:t>Ann</w:t>
      </w:r>
      <w:r>
        <w:rPr>
          <w:rFonts w:eastAsia="Times New Roman"/>
          <w:b/>
          <w:bCs/>
          <w:sz w:val="24"/>
          <w:szCs w:val="24"/>
        </w:rPr>
        <w:t>ual report on the activities of</w:t>
      </w:r>
    </w:p>
    <w:p w:rsidR="00461600" w:rsidRPr="00461600" w:rsidRDefault="00461600">
      <w:pPr>
        <w:ind w:right="-6"/>
        <w:jc w:val="center"/>
        <w:rPr>
          <w:rFonts w:eastAsia="Times New Roman"/>
          <w:b/>
          <w:bCs/>
          <w:sz w:val="24"/>
          <w:szCs w:val="24"/>
          <w:lang w:val="en-US"/>
        </w:rPr>
      </w:pPr>
      <w:r w:rsidRPr="00461600">
        <w:rPr>
          <w:rFonts w:eastAsia="Times New Roman"/>
          <w:b/>
          <w:bCs/>
          <w:sz w:val="24"/>
          <w:szCs w:val="24"/>
        </w:rPr>
        <w:t>JSC "Mangistau power distribution сompany</w:t>
      </w:r>
      <w:r>
        <w:rPr>
          <w:rFonts w:eastAsia="Times New Roman"/>
          <w:b/>
          <w:bCs/>
          <w:sz w:val="24"/>
          <w:szCs w:val="24"/>
          <w:lang w:val="en-US"/>
        </w:rPr>
        <w:t>”</w:t>
      </w:r>
    </w:p>
    <w:p w:rsidR="00A12EB2" w:rsidRDefault="00461600">
      <w:pPr>
        <w:ind w:right="-6"/>
        <w:jc w:val="center"/>
        <w:rPr>
          <w:sz w:val="20"/>
          <w:szCs w:val="20"/>
        </w:rPr>
      </w:pPr>
      <w:r w:rsidRPr="00461600">
        <w:rPr>
          <w:rFonts w:eastAsia="Times New Roman"/>
          <w:b/>
          <w:bCs/>
          <w:sz w:val="24"/>
          <w:szCs w:val="24"/>
        </w:rPr>
        <w:t xml:space="preserve"> </w:t>
      </w:r>
      <w:r w:rsidR="002108AD" w:rsidRPr="002108AD">
        <w:rPr>
          <w:rFonts w:eastAsia="Times New Roman"/>
          <w:b/>
          <w:bCs/>
          <w:sz w:val="24"/>
          <w:szCs w:val="24"/>
        </w:rPr>
        <w:t>in the provision of services for the transmission and distribution of electrical energy in 2015</w:t>
      </w:r>
    </w:p>
    <w:p w:rsidR="00A12EB2" w:rsidRDefault="00A12EB2">
      <w:pPr>
        <w:spacing w:line="200" w:lineRule="exact"/>
        <w:rPr>
          <w:sz w:val="24"/>
          <w:szCs w:val="24"/>
        </w:rPr>
      </w:pPr>
    </w:p>
    <w:p w:rsidR="00A12EB2" w:rsidRDefault="00A12EB2">
      <w:pPr>
        <w:spacing w:line="352" w:lineRule="exact"/>
        <w:rPr>
          <w:sz w:val="24"/>
          <w:szCs w:val="24"/>
        </w:rPr>
      </w:pPr>
    </w:p>
    <w:p w:rsidR="00A12EB2" w:rsidRDefault="002108AD">
      <w:pPr>
        <w:ind w:left="7"/>
        <w:rPr>
          <w:sz w:val="20"/>
          <w:szCs w:val="20"/>
        </w:rPr>
      </w:pPr>
      <w:r>
        <w:rPr>
          <w:rFonts w:eastAsia="Times New Roman"/>
          <w:b/>
          <w:bCs/>
          <w:i/>
          <w:iCs/>
          <w:sz w:val="24"/>
          <w:szCs w:val="24"/>
          <w:u w:val="single"/>
          <w:lang w:val="en-US"/>
        </w:rPr>
        <w:t>G</w:t>
      </w:r>
      <w:r w:rsidRPr="002108AD">
        <w:rPr>
          <w:rFonts w:eastAsia="Times New Roman"/>
          <w:b/>
          <w:bCs/>
          <w:i/>
          <w:iCs/>
          <w:sz w:val="24"/>
          <w:szCs w:val="24"/>
          <w:u w:val="single"/>
        </w:rPr>
        <w:t>eneral information</w:t>
      </w:r>
    </w:p>
    <w:p w:rsidR="002108AD" w:rsidRPr="002108AD" w:rsidRDefault="00DB7B12" w:rsidP="002108AD">
      <w:pPr>
        <w:spacing w:line="236" w:lineRule="auto"/>
        <w:ind w:left="7" w:firstLine="708"/>
        <w:jc w:val="both"/>
        <w:rPr>
          <w:rFonts w:eastAsia="Times New Roman"/>
          <w:sz w:val="24"/>
          <w:szCs w:val="24"/>
        </w:rPr>
      </w:pPr>
      <w:r>
        <w:rPr>
          <w:rFonts w:eastAsia="Times New Roman"/>
          <w:sz w:val="24"/>
          <w:szCs w:val="24"/>
        </w:rPr>
        <w:t>JSC «MPDC»</w:t>
      </w:r>
      <w:r w:rsidR="002108AD" w:rsidRPr="002108AD">
        <w:rPr>
          <w:rFonts w:eastAsia="Times New Roman"/>
          <w:sz w:val="24"/>
          <w:szCs w:val="24"/>
        </w:rPr>
        <w:t xml:space="preserve"> is a natural monopoly entity and provides transmission services.</w:t>
      </w:r>
    </w:p>
    <w:p w:rsidR="002108AD" w:rsidRPr="002108AD" w:rsidRDefault="002108AD" w:rsidP="002108AD">
      <w:pPr>
        <w:spacing w:line="236" w:lineRule="auto"/>
        <w:ind w:left="7" w:firstLine="708"/>
        <w:jc w:val="both"/>
        <w:rPr>
          <w:rFonts w:eastAsia="Times New Roman"/>
          <w:sz w:val="24"/>
          <w:szCs w:val="24"/>
        </w:rPr>
      </w:pPr>
      <w:r w:rsidRPr="002108AD">
        <w:rPr>
          <w:rFonts w:eastAsia="Times New Roman"/>
          <w:sz w:val="24"/>
          <w:szCs w:val="24"/>
        </w:rPr>
        <w:t>and distribution of electricity to consumers in the Mangystau region of the Republic of Kazakhstan, except for the city of Aktau.</w:t>
      </w:r>
    </w:p>
    <w:p w:rsidR="002108AD" w:rsidRPr="002108AD" w:rsidRDefault="002108AD" w:rsidP="002108AD">
      <w:pPr>
        <w:spacing w:line="236" w:lineRule="auto"/>
        <w:ind w:left="7" w:firstLine="708"/>
        <w:jc w:val="both"/>
        <w:rPr>
          <w:rFonts w:eastAsia="Times New Roman"/>
          <w:sz w:val="24"/>
          <w:szCs w:val="24"/>
        </w:rPr>
      </w:pPr>
      <w:r w:rsidRPr="002108AD">
        <w:rPr>
          <w:rFonts w:eastAsia="Times New Roman"/>
          <w:sz w:val="24"/>
          <w:szCs w:val="24"/>
        </w:rPr>
        <w:t xml:space="preserve">The main task of </w:t>
      </w:r>
      <w:r w:rsidR="00DB7B12">
        <w:rPr>
          <w:rFonts w:eastAsia="Times New Roman"/>
          <w:sz w:val="24"/>
          <w:szCs w:val="24"/>
        </w:rPr>
        <w:t>JSC «MPDC»</w:t>
      </w:r>
      <w:r w:rsidRPr="002108AD">
        <w:rPr>
          <w:rFonts w:eastAsia="Times New Roman"/>
          <w:sz w:val="24"/>
          <w:szCs w:val="24"/>
        </w:rPr>
        <w:t xml:space="preserve"> is reliable and uninterrupted transmission and distribution of electricity to consumers.</w:t>
      </w:r>
    </w:p>
    <w:p w:rsidR="00A12EB2" w:rsidRDefault="002108AD" w:rsidP="002108AD">
      <w:pPr>
        <w:spacing w:line="236" w:lineRule="auto"/>
        <w:ind w:left="7" w:firstLine="708"/>
        <w:jc w:val="both"/>
        <w:rPr>
          <w:rFonts w:eastAsia="Times New Roman"/>
          <w:sz w:val="24"/>
          <w:szCs w:val="24"/>
        </w:rPr>
      </w:pPr>
      <w:r w:rsidRPr="002108AD">
        <w:rPr>
          <w:rFonts w:eastAsia="Times New Roman"/>
          <w:sz w:val="24"/>
          <w:szCs w:val="24"/>
        </w:rPr>
        <w:t>The fulfillment of the tasks is carried out at the expense of the constructed energy infrastructure consisting of high-voltage power lines, substations with an automated control system, powerful transformers</w:t>
      </w:r>
      <w:r w:rsidR="000258DF">
        <w:rPr>
          <w:rFonts w:eastAsia="Times New Roman"/>
          <w:sz w:val="24"/>
          <w:szCs w:val="24"/>
        </w:rPr>
        <w:t>.</w:t>
      </w:r>
    </w:p>
    <w:p w:rsidR="00A12EB2" w:rsidRDefault="00A12EB2">
      <w:pPr>
        <w:spacing w:line="282" w:lineRule="exact"/>
        <w:rPr>
          <w:sz w:val="24"/>
          <w:szCs w:val="24"/>
        </w:rPr>
      </w:pPr>
    </w:p>
    <w:p w:rsidR="00A12EB2" w:rsidRDefault="002108AD">
      <w:pPr>
        <w:ind w:left="7"/>
        <w:rPr>
          <w:sz w:val="20"/>
          <w:szCs w:val="20"/>
        </w:rPr>
      </w:pPr>
      <w:r w:rsidRPr="002108AD">
        <w:rPr>
          <w:rFonts w:eastAsia="Times New Roman"/>
          <w:b/>
          <w:bCs/>
          <w:i/>
          <w:iCs/>
          <w:sz w:val="24"/>
          <w:szCs w:val="24"/>
          <w:u w:val="single"/>
        </w:rPr>
        <w:t>Production volumes</w:t>
      </w:r>
      <w:r w:rsidR="000258DF">
        <w:rPr>
          <w:rFonts w:eastAsia="Times New Roman"/>
          <w:b/>
          <w:bCs/>
          <w:i/>
          <w:iCs/>
          <w:sz w:val="24"/>
          <w:szCs w:val="24"/>
          <w:u w:val="single"/>
        </w:rPr>
        <w:t>:</w:t>
      </w:r>
    </w:p>
    <w:p w:rsidR="00A12EB2" w:rsidRDefault="00A12EB2">
      <w:pPr>
        <w:spacing w:line="7" w:lineRule="exact"/>
        <w:rPr>
          <w:sz w:val="24"/>
          <w:szCs w:val="24"/>
        </w:rPr>
      </w:pPr>
    </w:p>
    <w:p w:rsidR="002108AD" w:rsidRPr="002108AD" w:rsidRDefault="002108AD" w:rsidP="002108AD">
      <w:pPr>
        <w:spacing w:line="234" w:lineRule="auto"/>
        <w:ind w:left="7" w:firstLine="708"/>
        <w:rPr>
          <w:rFonts w:eastAsia="Times New Roman"/>
          <w:sz w:val="24"/>
          <w:szCs w:val="24"/>
        </w:rPr>
      </w:pPr>
      <w:r w:rsidRPr="002108AD">
        <w:rPr>
          <w:rFonts w:eastAsia="Times New Roman"/>
          <w:sz w:val="24"/>
          <w:szCs w:val="24"/>
        </w:rPr>
        <w:t xml:space="preserve">The volume of services rendered by </w:t>
      </w:r>
      <w:r w:rsidR="00DB7B12">
        <w:rPr>
          <w:rFonts w:eastAsia="Times New Roman"/>
          <w:sz w:val="24"/>
          <w:szCs w:val="24"/>
        </w:rPr>
        <w:t>JSC «MPDC»</w:t>
      </w:r>
      <w:r w:rsidRPr="002108AD">
        <w:rPr>
          <w:rFonts w:eastAsia="Times New Roman"/>
          <w:sz w:val="24"/>
          <w:szCs w:val="24"/>
        </w:rPr>
        <w:t xml:space="preserve"> for 2015 amounted to 2,517.8 million kWh, compared with a plan of 2,651.7 million kWh, with fulfillment of 95%.</w:t>
      </w:r>
    </w:p>
    <w:p w:rsidR="002108AD" w:rsidRPr="002108AD" w:rsidRDefault="002108AD" w:rsidP="002108AD">
      <w:pPr>
        <w:spacing w:line="234" w:lineRule="auto"/>
        <w:ind w:left="7" w:firstLine="708"/>
        <w:rPr>
          <w:rFonts w:eastAsia="Times New Roman"/>
          <w:sz w:val="24"/>
          <w:szCs w:val="24"/>
        </w:rPr>
      </w:pPr>
      <w:r w:rsidRPr="002108AD">
        <w:rPr>
          <w:rFonts w:eastAsia="Times New Roman"/>
          <w:sz w:val="24"/>
          <w:szCs w:val="24"/>
        </w:rPr>
        <w:t>Compared to the same period in 2014, where the volume of services rendered was actually at the level of 2,718.4 million kWh, the decrease was 7%.</w:t>
      </w:r>
    </w:p>
    <w:p w:rsidR="00A12EB2" w:rsidRDefault="002108AD" w:rsidP="002108AD">
      <w:pPr>
        <w:spacing w:line="234" w:lineRule="auto"/>
        <w:ind w:left="7" w:firstLine="708"/>
        <w:rPr>
          <w:sz w:val="20"/>
          <w:szCs w:val="20"/>
        </w:rPr>
      </w:pPr>
      <w:r w:rsidRPr="002108AD">
        <w:rPr>
          <w:rFonts w:eastAsia="Times New Roman"/>
          <w:sz w:val="24"/>
          <w:szCs w:val="24"/>
        </w:rPr>
        <w:t xml:space="preserve">The decrease in volumes is due to the commissioning of its own gas turbine station by a large consumer of </w:t>
      </w:r>
      <w:r w:rsidR="00DB7B12">
        <w:rPr>
          <w:rFonts w:eastAsia="Times New Roman"/>
          <w:sz w:val="24"/>
          <w:szCs w:val="24"/>
        </w:rPr>
        <w:t>JSC «MPDC»</w:t>
      </w:r>
      <w:r w:rsidRPr="002108AD">
        <w:rPr>
          <w:rFonts w:eastAsia="Times New Roman"/>
          <w:sz w:val="24"/>
          <w:szCs w:val="24"/>
        </w:rPr>
        <w:t xml:space="preserve"> Mangistaumunaigas JSC</w:t>
      </w:r>
      <w:r w:rsidR="000258DF">
        <w:rPr>
          <w:rFonts w:eastAsia="Times New Roman"/>
          <w:sz w:val="24"/>
          <w:szCs w:val="24"/>
        </w:rPr>
        <w:t>».</w:t>
      </w:r>
    </w:p>
    <w:p w:rsidR="00A12EB2" w:rsidRDefault="00A12EB2">
      <w:pPr>
        <w:spacing w:line="282" w:lineRule="exact"/>
        <w:rPr>
          <w:sz w:val="24"/>
          <w:szCs w:val="24"/>
        </w:rPr>
      </w:pPr>
    </w:p>
    <w:p w:rsidR="00A12EB2" w:rsidRDefault="002108AD">
      <w:pPr>
        <w:ind w:left="7"/>
        <w:rPr>
          <w:sz w:val="20"/>
          <w:szCs w:val="20"/>
        </w:rPr>
      </w:pPr>
      <w:r w:rsidRPr="002108AD">
        <w:rPr>
          <w:rFonts w:eastAsia="Times New Roman"/>
          <w:b/>
          <w:bCs/>
          <w:i/>
          <w:iCs/>
          <w:sz w:val="24"/>
          <w:szCs w:val="24"/>
          <w:u w:val="single"/>
        </w:rPr>
        <w:t>Income</w:t>
      </w:r>
      <w:r w:rsidR="000258DF">
        <w:rPr>
          <w:rFonts w:eastAsia="Times New Roman"/>
          <w:b/>
          <w:bCs/>
          <w:i/>
          <w:iCs/>
          <w:sz w:val="24"/>
          <w:szCs w:val="24"/>
          <w:u w:val="single"/>
        </w:rPr>
        <w:t>:</w:t>
      </w:r>
    </w:p>
    <w:p w:rsidR="00A12EB2" w:rsidRDefault="00A12EB2">
      <w:pPr>
        <w:spacing w:line="7" w:lineRule="exact"/>
        <w:rPr>
          <w:sz w:val="24"/>
          <w:szCs w:val="24"/>
        </w:rPr>
      </w:pPr>
    </w:p>
    <w:p w:rsidR="00A12EB2" w:rsidRDefault="002108AD">
      <w:pPr>
        <w:spacing w:line="234" w:lineRule="auto"/>
        <w:ind w:left="7" w:firstLine="708"/>
        <w:rPr>
          <w:sz w:val="20"/>
          <w:szCs w:val="20"/>
        </w:rPr>
      </w:pPr>
      <w:r w:rsidRPr="002108AD">
        <w:rPr>
          <w:rFonts w:eastAsia="Times New Roman"/>
          <w:sz w:val="24"/>
          <w:szCs w:val="24"/>
        </w:rPr>
        <w:t xml:space="preserve">Income from operating activities actually amounted to 8,985.7 million </w:t>
      </w:r>
      <w:r w:rsidR="00C32D7F">
        <w:rPr>
          <w:rFonts w:eastAsia="Times New Roman"/>
          <w:sz w:val="24"/>
          <w:szCs w:val="24"/>
        </w:rPr>
        <w:t>KZT</w:t>
      </w:r>
      <w:r w:rsidRPr="002108AD">
        <w:rPr>
          <w:rFonts w:eastAsia="Times New Roman"/>
          <w:sz w:val="24"/>
          <w:szCs w:val="24"/>
        </w:rPr>
        <w:t xml:space="preserve">, with a plan of 9,609.6 million </w:t>
      </w:r>
      <w:r w:rsidR="00C32D7F">
        <w:rPr>
          <w:rFonts w:eastAsia="Times New Roman"/>
          <w:sz w:val="24"/>
          <w:szCs w:val="24"/>
        </w:rPr>
        <w:t>KZT</w:t>
      </w:r>
      <w:r w:rsidRPr="002108AD">
        <w:rPr>
          <w:rFonts w:eastAsia="Times New Roman"/>
          <w:sz w:val="24"/>
          <w:szCs w:val="24"/>
        </w:rPr>
        <w:t>, execution is 94%</w:t>
      </w:r>
      <w:r w:rsidR="000258DF">
        <w:rPr>
          <w:rFonts w:eastAsia="Times New Roman"/>
          <w:sz w:val="24"/>
          <w:szCs w:val="24"/>
        </w:rPr>
        <w:t>.</w:t>
      </w:r>
    </w:p>
    <w:p w:rsidR="00A12EB2" w:rsidRDefault="00A12EB2">
      <w:pPr>
        <w:spacing w:line="282" w:lineRule="exact"/>
        <w:rPr>
          <w:sz w:val="24"/>
          <w:szCs w:val="24"/>
        </w:rPr>
      </w:pPr>
    </w:p>
    <w:p w:rsidR="00A12EB2" w:rsidRDefault="002108AD">
      <w:pPr>
        <w:ind w:left="7"/>
        <w:rPr>
          <w:sz w:val="20"/>
          <w:szCs w:val="20"/>
        </w:rPr>
      </w:pPr>
      <w:r w:rsidRPr="002108AD">
        <w:rPr>
          <w:rFonts w:eastAsia="Times New Roman"/>
          <w:b/>
          <w:bCs/>
          <w:i/>
          <w:iCs/>
          <w:sz w:val="24"/>
          <w:szCs w:val="24"/>
          <w:u w:val="single"/>
        </w:rPr>
        <w:t>Rate</w:t>
      </w:r>
      <w:r w:rsidR="000258DF">
        <w:rPr>
          <w:rFonts w:eastAsia="Times New Roman"/>
          <w:b/>
          <w:bCs/>
          <w:i/>
          <w:iCs/>
          <w:sz w:val="24"/>
          <w:szCs w:val="24"/>
          <w:u w:val="single"/>
        </w:rPr>
        <w:t>:</w:t>
      </w:r>
    </w:p>
    <w:p w:rsidR="00A12EB2" w:rsidRDefault="00A12EB2">
      <w:pPr>
        <w:spacing w:line="7" w:lineRule="exact"/>
        <w:rPr>
          <w:sz w:val="24"/>
          <w:szCs w:val="24"/>
        </w:rPr>
      </w:pPr>
    </w:p>
    <w:p w:rsidR="00A12EB2" w:rsidRDefault="002108AD" w:rsidP="002108AD">
      <w:pPr>
        <w:tabs>
          <w:tab w:val="left" w:pos="1029"/>
        </w:tabs>
        <w:spacing w:line="237" w:lineRule="auto"/>
        <w:ind w:firstLine="851"/>
        <w:jc w:val="both"/>
        <w:rPr>
          <w:rFonts w:eastAsia="Times New Roman"/>
          <w:sz w:val="24"/>
          <w:szCs w:val="24"/>
        </w:rPr>
      </w:pPr>
      <w:r w:rsidRPr="002108AD">
        <w:rPr>
          <w:rFonts w:eastAsia="Times New Roman"/>
          <w:sz w:val="24"/>
          <w:szCs w:val="24"/>
          <w:lang w:val="en-US"/>
        </w:rPr>
        <w:t xml:space="preserve">In 2015, in </w:t>
      </w:r>
      <w:r w:rsidRPr="003827DD">
        <w:rPr>
          <w:rFonts w:eastAsia="Times New Roman"/>
          <w:sz w:val="24"/>
          <w:szCs w:val="24"/>
          <w:lang w:val="en-US"/>
        </w:rPr>
        <w:t xml:space="preserve">accordance with the Order of the Department of the Committee for the Regulation of Natural Monopolies and the Protection of Competition of the Ministry of National Economy of the Republic of Kazakhstan for </w:t>
      </w:r>
      <w:proofErr w:type="spellStart"/>
      <w:r w:rsidRPr="003827DD">
        <w:rPr>
          <w:rFonts w:eastAsia="Times New Roman"/>
          <w:sz w:val="24"/>
          <w:szCs w:val="24"/>
          <w:lang w:val="en-US"/>
        </w:rPr>
        <w:t>Mangystau</w:t>
      </w:r>
      <w:proofErr w:type="spellEnd"/>
      <w:r w:rsidRPr="003827DD">
        <w:rPr>
          <w:rFonts w:eastAsia="Times New Roman"/>
          <w:sz w:val="24"/>
          <w:szCs w:val="24"/>
          <w:lang w:val="en-US"/>
        </w:rPr>
        <w:t xml:space="preserve"> </w:t>
      </w:r>
      <w:r w:rsidR="00DB7B12" w:rsidRPr="003827DD">
        <w:rPr>
          <w:rFonts w:eastAsia="Times New Roman"/>
          <w:sz w:val="24"/>
          <w:szCs w:val="24"/>
          <w:lang w:val="en-US"/>
        </w:rPr>
        <w:t>Region</w:t>
      </w:r>
      <w:r w:rsidRPr="003827DD">
        <w:rPr>
          <w:rFonts w:eastAsia="Times New Roman"/>
          <w:sz w:val="24"/>
          <w:szCs w:val="24"/>
          <w:lang w:val="en-US"/>
        </w:rPr>
        <w:t xml:space="preserve"> (hereinafter referred to as </w:t>
      </w:r>
      <w:r w:rsidR="003827DD" w:rsidRPr="003827DD">
        <w:rPr>
          <w:rFonts w:eastAsia="Times New Roman"/>
          <w:sz w:val="24"/>
          <w:szCs w:val="24"/>
          <w:lang w:val="en-US"/>
        </w:rPr>
        <w:t>DCRNM</w:t>
      </w:r>
      <w:r w:rsidRPr="003827DD">
        <w:rPr>
          <w:rFonts w:eastAsia="Times New Roman"/>
          <w:sz w:val="24"/>
          <w:szCs w:val="24"/>
          <w:lang w:val="en-US"/>
        </w:rPr>
        <w:t xml:space="preserve"> and </w:t>
      </w:r>
      <w:r w:rsidR="003827DD" w:rsidRPr="003827DD">
        <w:rPr>
          <w:rFonts w:eastAsia="Times New Roman"/>
          <w:sz w:val="24"/>
          <w:szCs w:val="24"/>
          <w:lang w:val="en-US"/>
        </w:rPr>
        <w:t>PC</w:t>
      </w:r>
      <w:r w:rsidRPr="003827DD">
        <w:rPr>
          <w:rFonts w:eastAsia="Times New Roman"/>
          <w:sz w:val="24"/>
          <w:szCs w:val="24"/>
          <w:lang w:val="en-US"/>
        </w:rPr>
        <w:t xml:space="preserve"> for </w:t>
      </w:r>
      <w:proofErr w:type="spellStart"/>
      <w:r w:rsidRPr="003827DD">
        <w:rPr>
          <w:rFonts w:eastAsia="Times New Roman"/>
          <w:sz w:val="24"/>
          <w:szCs w:val="24"/>
          <w:lang w:val="en-US"/>
        </w:rPr>
        <w:t>Mangystau</w:t>
      </w:r>
      <w:proofErr w:type="spellEnd"/>
      <w:r w:rsidRPr="003827DD">
        <w:rPr>
          <w:rFonts w:eastAsia="Times New Roman"/>
          <w:sz w:val="24"/>
          <w:szCs w:val="24"/>
          <w:lang w:val="en-US"/>
        </w:rPr>
        <w:t xml:space="preserve"> </w:t>
      </w:r>
      <w:r w:rsidR="00DB7B12" w:rsidRPr="003827DD">
        <w:rPr>
          <w:rFonts w:eastAsia="Times New Roman"/>
          <w:sz w:val="24"/>
          <w:szCs w:val="24"/>
          <w:lang w:val="en-US"/>
        </w:rPr>
        <w:t>Region</w:t>
      </w:r>
      <w:r w:rsidRPr="003827DD">
        <w:rPr>
          <w:rFonts w:eastAsia="Times New Roman"/>
          <w:sz w:val="24"/>
          <w:szCs w:val="24"/>
          <w:lang w:val="en-US"/>
        </w:rPr>
        <w:t>) No. 17-</w:t>
      </w:r>
      <w:r w:rsidRPr="003827DD">
        <w:rPr>
          <w:rFonts w:eastAsia="Times New Roman"/>
          <w:sz w:val="24"/>
          <w:szCs w:val="24"/>
          <w:lang w:val="ru-RU"/>
        </w:rPr>
        <w:t>О</w:t>
      </w:r>
      <w:r w:rsidRPr="003827DD">
        <w:rPr>
          <w:rFonts w:eastAsia="Times New Roman"/>
          <w:sz w:val="24"/>
          <w:szCs w:val="24"/>
          <w:lang w:val="en-US"/>
        </w:rPr>
        <w:t>D dated December 12, 2014 and distribution of electrical energy, with the entry into force on January 1, 2015 in the following amount (excluding VAT)</w:t>
      </w:r>
      <w:r w:rsidR="000258DF" w:rsidRPr="003827DD">
        <w:rPr>
          <w:rFonts w:eastAsia="Times New Roman"/>
          <w:sz w:val="24"/>
          <w:szCs w:val="24"/>
        </w:rPr>
        <w:t>:</w:t>
      </w:r>
    </w:p>
    <w:p w:rsidR="00A12EB2" w:rsidRDefault="00A12EB2">
      <w:pPr>
        <w:spacing w:line="1" w:lineRule="exact"/>
        <w:rPr>
          <w:rFonts w:eastAsia="Times New Roman"/>
          <w:sz w:val="24"/>
          <w:szCs w:val="24"/>
        </w:rPr>
      </w:pPr>
    </w:p>
    <w:p w:rsidR="002108AD" w:rsidRPr="002108AD" w:rsidRDefault="002108AD" w:rsidP="002108AD">
      <w:pPr>
        <w:ind w:left="707"/>
        <w:rPr>
          <w:rFonts w:eastAsia="Times New Roman"/>
          <w:sz w:val="24"/>
          <w:szCs w:val="24"/>
        </w:rPr>
      </w:pPr>
      <w:r w:rsidRPr="002108AD">
        <w:rPr>
          <w:rFonts w:eastAsia="Times New Roman"/>
          <w:sz w:val="24"/>
          <w:szCs w:val="24"/>
        </w:rPr>
        <w:t>For legal entities:</w:t>
      </w:r>
    </w:p>
    <w:p w:rsidR="002108AD" w:rsidRPr="002108AD" w:rsidRDefault="002108AD" w:rsidP="002108AD">
      <w:pPr>
        <w:ind w:left="707"/>
        <w:rPr>
          <w:rFonts w:eastAsia="Times New Roman"/>
          <w:sz w:val="24"/>
          <w:szCs w:val="24"/>
        </w:rPr>
      </w:pPr>
      <w:r w:rsidRPr="002108AD">
        <w:rPr>
          <w:rFonts w:eastAsia="Times New Roman"/>
          <w:sz w:val="24"/>
          <w:szCs w:val="24"/>
        </w:rPr>
        <w:t xml:space="preserve">- 3.77 </w:t>
      </w:r>
      <w:r w:rsidR="00C32D7F">
        <w:rPr>
          <w:rFonts w:eastAsia="Times New Roman"/>
          <w:sz w:val="24"/>
          <w:szCs w:val="24"/>
        </w:rPr>
        <w:t>KZT</w:t>
      </w:r>
      <w:r w:rsidRPr="002108AD">
        <w:rPr>
          <w:rFonts w:eastAsia="Times New Roman"/>
          <w:sz w:val="24"/>
          <w:szCs w:val="24"/>
        </w:rPr>
        <w:t xml:space="preserve"> per 1 kW / h, introduced as an emergency regulatory measure;</w:t>
      </w:r>
    </w:p>
    <w:p w:rsidR="002108AD" w:rsidRPr="002108AD" w:rsidRDefault="002108AD" w:rsidP="002108AD">
      <w:pPr>
        <w:ind w:left="707"/>
        <w:rPr>
          <w:rFonts w:eastAsia="Times New Roman"/>
          <w:sz w:val="24"/>
          <w:szCs w:val="24"/>
        </w:rPr>
      </w:pPr>
      <w:r w:rsidRPr="002108AD">
        <w:rPr>
          <w:rFonts w:eastAsia="Times New Roman"/>
          <w:sz w:val="24"/>
          <w:szCs w:val="24"/>
        </w:rPr>
        <w:t xml:space="preserve">For the </w:t>
      </w:r>
      <w:r w:rsidR="003827DD">
        <w:rPr>
          <w:rFonts w:eastAsia="Times New Roman"/>
          <w:sz w:val="24"/>
          <w:szCs w:val="24"/>
          <w:lang w:val="en-US"/>
        </w:rPr>
        <w:t>s</w:t>
      </w:r>
      <w:r w:rsidR="003827DD" w:rsidRPr="003827DD">
        <w:rPr>
          <w:rFonts w:eastAsia="Times New Roman"/>
          <w:sz w:val="24"/>
          <w:szCs w:val="24"/>
        </w:rPr>
        <w:t>tate-owned public enterprise</w:t>
      </w:r>
      <w:r w:rsidRPr="002108AD">
        <w:rPr>
          <w:rFonts w:eastAsia="Times New Roman"/>
          <w:sz w:val="24"/>
          <w:szCs w:val="24"/>
        </w:rPr>
        <w:t xml:space="preserve">, providing services for the transmission and distribution of electricity and </w:t>
      </w:r>
      <w:r w:rsidR="00DB7B12" w:rsidRPr="00DB7B12">
        <w:rPr>
          <w:rFonts w:eastAsia="Times New Roman"/>
          <w:sz w:val="24"/>
          <w:szCs w:val="24"/>
        </w:rPr>
        <w:t>Elektrzhuyieleri LLP</w:t>
      </w:r>
      <w:r w:rsidRPr="002108AD">
        <w:rPr>
          <w:rFonts w:eastAsia="Times New Roman"/>
          <w:sz w:val="24"/>
          <w:szCs w:val="24"/>
        </w:rPr>
        <w:t>, carrying out activities for the supply of individuals:</w:t>
      </w:r>
    </w:p>
    <w:p w:rsidR="002108AD" w:rsidRPr="002108AD" w:rsidRDefault="002108AD" w:rsidP="002108AD">
      <w:pPr>
        <w:ind w:left="707"/>
        <w:rPr>
          <w:rFonts w:eastAsia="Times New Roman"/>
          <w:sz w:val="24"/>
          <w:szCs w:val="24"/>
        </w:rPr>
      </w:pPr>
      <w:r w:rsidRPr="002108AD">
        <w:rPr>
          <w:rFonts w:eastAsia="Times New Roman"/>
          <w:sz w:val="24"/>
          <w:szCs w:val="24"/>
        </w:rPr>
        <w:t xml:space="preserve">- 2.39 </w:t>
      </w:r>
      <w:r w:rsidR="00C32D7F">
        <w:rPr>
          <w:rFonts w:eastAsia="Times New Roman"/>
          <w:sz w:val="24"/>
          <w:szCs w:val="24"/>
        </w:rPr>
        <w:t>KZT</w:t>
      </w:r>
      <w:r w:rsidRPr="002108AD">
        <w:rPr>
          <w:rFonts w:eastAsia="Times New Roman"/>
          <w:sz w:val="24"/>
          <w:szCs w:val="24"/>
        </w:rPr>
        <w:t xml:space="preserve"> per 1 kW / h, introduced from April 1, 2012.</w:t>
      </w:r>
    </w:p>
    <w:p w:rsidR="00A12EB2" w:rsidRDefault="002108AD" w:rsidP="002108AD">
      <w:pPr>
        <w:ind w:left="707"/>
        <w:rPr>
          <w:rFonts w:eastAsia="Times New Roman"/>
          <w:sz w:val="24"/>
          <w:szCs w:val="24"/>
        </w:rPr>
      </w:pPr>
      <w:r w:rsidRPr="002108AD">
        <w:rPr>
          <w:rFonts w:eastAsia="Times New Roman"/>
          <w:sz w:val="24"/>
          <w:szCs w:val="24"/>
        </w:rPr>
        <w:t xml:space="preserve">For individuals - 1.90 </w:t>
      </w:r>
      <w:r w:rsidR="00116912">
        <w:rPr>
          <w:rFonts w:eastAsia="Times New Roman"/>
          <w:sz w:val="24"/>
          <w:szCs w:val="24"/>
          <w:lang w:val="en-US"/>
        </w:rPr>
        <w:t>KZT</w:t>
      </w:r>
      <w:r w:rsidRPr="002108AD">
        <w:rPr>
          <w:rFonts w:eastAsia="Times New Roman"/>
          <w:sz w:val="24"/>
          <w:szCs w:val="24"/>
        </w:rPr>
        <w:t xml:space="preserve"> per 1 kW / h, introduced from October 1, 2010</w:t>
      </w:r>
      <w:r w:rsidR="000258DF">
        <w:rPr>
          <w:rFonts w:eastAsia="Times New Roman"/>
          <w:sz w:val="24"/>
          <w:szCs w:val="24"/>
        </w:rPr>
        <w:t>.</w:t>
      </w:r>
    </w:p>
    <w:p w:rsidR="00A12EB2" w:rsidRDefault="00A12EB2">
      <w:pPr>
        <w:spacing w:line="281" w:lineRule="exact"/>
        <w:rPr>
          <w:sz w:val="24"/>
          <w:szCs w:val="24"/>
        </w:rPr>
      </w:pPr>
    </w:p>
    <w:p w:rsidR="00A12EB2" w:rsidRDefault="002108AD">
      <w:pPr>
        <w:ind w:left="7"/>
        <w:rPr>
          <w:sz w:val="20"/>
          <w:szCs w:val="20"/>
        </w:rPr>
      </w:pPr>
      <w:r w:rsidRPr="002108AD">
        <w:rPr>
          <w:rFonts w:eastAsia="Times New Roman"/>
          <w:b/>
          <w:bCs/>
          <w:i/>
          <w:iCs/>
          <w:sz w:val="24"/>
          <w:szCs w:val="24"/>
          <w:u w:val="single"/>
        </w:rPr>
        <w:t>Costs</w:t>
      </w:r>
      <w:r w:rsidR="000258DF">
        <w:rPr>
          <w:rFonts w:eastAsia="Times New Roman"/>
          <w:b/>
          <w:bCs/>
          <w:i/>
          <w:iCs/>
          <w:sz w:val="24"/>
          <w:szCs w:val="24"/>
          <w:u w:val="single"/>
        </w:rPr>
        <w:t>:</w:t>
      </w:r>
    </w:p>
    <w:p w:rsidR="00A12EB2" w:rsidRDefault="00A12EB2">
      <w:pPr>
        <w:spacing w:line="7" w:lineRule="exact"/>
        <w:rPr>
          <w:sz w:val="24"/>
          <w:szCs w:val="24"/>
        </w:rPr>
      </w:pPr>
    </w:p>
    <w:p w:rsidR="002108AD" w:rsidRPr="002108AD" w:rsidRDefault="002108AD" w:rsidP="002108AD">
      <w:pPr>
        <w:ind w:firstLine="426"/>
        <w:rPr>
          <w:rFonts w:eastAsia="Times New Roman"/>
          <w:sz w:val="24"/>
          <w:szCs w:val="24"/>
        </w:rPr>
      </w:pPr>
      <w:r w:rsidRPr="002108AD">
        <w:rPr>
          <w:rFonts w:eastAsia="Times New Roman"/>
          <w:sz w:val="24"/>
          <w:szCs w:val="24"/>
        </w:rPr>
        <w:t>The costs of the regional electric grid company for the provision of services for the transmission of electric energy actually amounted to KZT 2,815.0 million, compared with the plan of KZT 2,153.6 million or 131%.</w:t>
      </w:r>
    </w:p>
    <w:p w:rsidR="002108AD" w:rsidRPr="002108AD" w:rsidRDefault="002108AD" w:rsidP="002108AD">
      <w:pPr>
        <w:ind w:firstLine="426"/>
        <w:rPr>
          <w:rFonts w:eastAsia="Times New Roman"/>
          <w:sz w:val="24"/>
          <w:szCs w:val="24"/>
        </w:rPr>
      </w:pPr>
      <w:r w:rsidRPr="002108AD">
        <w:rPr>
          <w:rFonts w:eastAsia="Times New Roman"/>
          <w:sz w:val="24"/>
          <w:szCs w:val="24"/>
        </w:rPr>
        <w:t xml:space="preserve">Depreciation of fixed assets and intangible assets with the plan of 1,399.3 million </w:t>
      </w:r>
      <w:r w:rsidR="00C32D7F">
        <w:rPr>
          <w:rFonts w:eastAsia="Times New Roman"/>
          <w:sz w:val="24"/>
          <w:szCs w:val="24"/>
        </w:rPr>
        <w:t>KZT</w:t>
      </w:r>
      <w:r w:rsidRPr="002108AD">
        <w:rPr>
          <w:rFonts w:eastAsia="Times New Roman"/>
          <w:sz w:val="24"/>
          <w:szCs w:val="24"/>
        </w:rPr>
        <w:t xml:space="preserve"> actually amounted to 1,472.2 million </w:t>
      </w:r>
      <w:r w:rsidR="00C32D7F">
        <w:rPr>
          <w:rFonts w:eastAsia="Times New Roman"/>
          <w:sz w:val="24"/>
          <w:szCs w:val="24"/>
        </w:rPr>
        <w:t>KZT</w:t>
      </w:r>
      <w:r w:rsidRPr="002108AD">
        <w:rPr>
          <w:rFonts w:eastAsia="Times New Roman"/>
          <w:sz w:val="24"/>
          <w:szCs w:val="24"/>
        </w:rPr>
        <w:t>, with execution by 105%.</w:t>
      </w:r>
    </w:p>
    <w:p w:rsidR="002108AD" w:rsidRPr="002108AD" w:rsidRDefault="002108AD" w:rsidP="002108AD">
      <w:pPr>
        <w:ind w:firstLine="426"/>
        <w:rPr>
          <w:rFonts w:eastAsia="Times New Roman"/>
          <w:sz w:val="24"/>
          <w:szCs w:val="24"/>
        </w:rPr>
      </w:pPr>
      <w:r w:rsidRPr="002108AD">
        <w:rPr>
          <w:rFonts w:eastAsia="Times New Roman"/>
          <w:sz w:val="24"/>
          <w:szCs w:val="24"/>
        </w:rPr>
        <w:t xml:space="preserve">Uncontrolled costs of the regional power grid company in the total amount amounted to 3,912.0 million </w:t>
      </w:r>
      <w:r w:rsidR="00C32D7F">
        <w:rPr>
          <w:rFonts w:eastAsia="Times New Roman"/>
          <w:sz w:val="24"/>
          <w:szCs w:val="24"/>
        </w:rPr>
        <w:t>KZT</w:t>
      </w:r>
      <w:r w:rsidRPr="002108AD">
        <w:rPr>
          <w:rFonts w:eastAsia="Times New Roman"/>
          <w:sz w:val="24"/>
          <w:szCs w:val="24"/>
        </w:rPr>
        <w:t>. Execution amounted to 84%.</w:t>
      </w:r>
    </w:p>
    <w:p w:rsidR="002108AD" w:rsidRPr="002108AD" w:rsidRDefault="002108AD" w:rsidP="002108AD">
      <w:pPr>
        <w:ind w:firstLine="426"/>
        <w:rPr>
          <w:rFonts w:eastAsia="Times New Roman"/>
          <w:sz w:val="24"/>
          <w:szCs w:val="24"/>
        </w:rPr>
      </w:pPr>
      <w:r w:rsidRPr="002108AD">
        <w:rPr>
          <w:rFonts w:eastAsia="Times New Roman"/>
          <w:sz w:val="24"/>
          <w:szCs w:val="24"/>
        </w:rPr>
        <w:t>Other costs, the value of which the regional grid company can not have a direct impact (with decoding attached). This item includes remuneration costs.</w:t>
      </w:r>
    </w:p>
    <w:p w:rsidR="002108AD" w:rsidRPr="002108AD" w:rsidRDefault="002108AD" w:rsidP="002108AD">
      <w:pPr>
        <w:ind w:firstLine="426"/>
        <w:rPr>
          <w:rFonts w:eastAsia="Times New Roman"/>
          <w:sz w:val="24"/>
          <w:szCs w:val="24"/>
        </w:rPr>
      </w:pPr>
      <w:r w:rsidRPr="002108AD">
        <w:rPr>
          <w:rFonts w:eastAsia="Times New Roman"/>
          <w:sz w:val="24"/>
          <w:szCs w:val="24"/>
        </w:rPr>
        <w:t xml:space="preserve">In 2015, when the plan was 1 298.0 million </w:t>
      </w:r>
      <w:r w:rsidR="00C32D7F">
        <w:rPr>
          <w:rFonts w:eastAsia="Times New Roman"/>
          <w:sz w:val="24"/>
          <w:szCs w:val="24"/>
        </w:rPr>
        <w:t>KZT</w:t>
      </w:r>
      <w:r w:rsidRPr="002108AD">
        <w:rPr>
          <w:rFonts w:eastAsia="Times New Roman"/>
          <w:sz w:val="24"/>
          <w:szCs w:val="24"/>
        </w:rPr>
        <w:t xml:space="preserve">, actual payments amounted to 1 012.8 million </w:t>
      </w:r>
      <w:r w:rsidR="00C32D7F">
        <w:rPr>
          <w:rFonts w:eastAsia="Times New Roman"/>
          <w:sz w:val="24"/>
          <w:szCs w:val="24"/>
        </w:rPr>
        <w:t>KZT</w:t>
      </w:r>
      <w:r w:rsidRPr="002108AD">
        <w:rPr>
          <w:rFonts w:eastAsia="Times New Roman"/>
          <w:sz w:val="24"/>
          <w:szCs w:val="24"/>
        </w:rPr>
        <w:t xml:space="preserve">, which is 285.2 million </w:t>
      </w:r>
      <w:r w:rsidR="00C32D7F">
        <w:rPr>
          <w:rFonts w:eastAsia="Times New Roman"/>
          <w:sz w:val="24"/>
          <w:szCs w:val="24"/>
        </w:rPr>
        <w:t>KZT</w:t>
      </w:r>
      <w:r w:rsidRPr="002108AD">
        <w:rPr>
          <w:rFonts w:eastAsia="Times New Roman"/>
          <w:sz w:val="24"/>
          <w:szCs w:val="24"/>
        </w:rPr>
        <w:t xml:space="preserve"> less than the plan.</w:t>
      </w:r>
    </w:p>
    <w:p w:rsidR="002108AD" w:rsidRPr="002108AD" w:rsidRDefault="002108AD" w:rsidP="002108AD">
      <w:pPr>
        <w:ind w:firstLine="426"/>
        <w:rPr>
          <w:rFonts w:eastAsia="Times New Roman"/>
          <w:sz w:val="24"/>
          <w:szCs w:val="24"/>
        </w:rPr>
      </w:pPr>
    </w:p>
    <w:p w:rsidR="00A12EB2" w:rsidRDefault="002108AD" w:rsidP="002108AD">
      <w:pPr>
        <w:ind w:firstLine="426"/>
        <w:rPr>
          <w:rFonts w:eastAsia="Times New Roman"/>
          <w:sz w:val="24"/>
          <w:szCs w:val="24"/>
        </w:rPr>
      </w:pPr>
      <w:r w:rsidRPr="002108AD">
        <w:rPr>
          <w:rFonts w:eastAsia="Times New Roman"/>
          <w:sz w:val="24"/>
          <w:szCs w:val="24"/>
        </w:rPr>
        <w:t xml:space="preserve">The actual profit amounted to 768.2 million </w:t>
      </w:r>
      <w:r w:rsidR="00C32D7F">
        <w:rPr>
          <w:rFonts w:eastAsia="Times New Roman"/>
          <w:sz w:val="24"/>
          <w:szCs w:val="24"/>
        </w:rPr>
        <w:t>KZT</w:t>
      </w:r>
      <w:r w:rsidRPr="002108AD">
        <w:rPr>
          <w:rFonts w:eastAsia="Times New Roman"/>
          <w:sz w:val="24"/>
          <w:szCs w:val="24"/>
        </w:rPr>
        <w:t xml:space="preserve">, while the plan was 1,397.8 million </w:t>
      </w:r>
      <w:r w:rsidR="00C32D7F">
        <w:rPr>
          <w:rFonts w:eastAsia="Times New Roman"/>
          <w:sz w:val="24"/>
          <w:szCs w:val="24"/>
        </w:rPr>
        <w:t>KZT</w:t>
      </w:r>
      <w:r w:rsidRPr="002108AD">
        <w:rPr>
          <w:rFonts w:eastAsia="Times New Roman"/>
          <w:sz w:val="24"/>
          <w:szCs w:val="24"/>
        </w:rPr>
        <w:t xml:space="preserve"> or 55%.</w:t>
      </w:r>
    </w:p>
    <w:p w:rsidR="00A12EB2" w:rsidRDefault="00A12EB2">
      <w:pPr>
        <w:sectPr w:rsidR="00A12EB2">
          <w:pgSz w:w="11900" w:h="16838"/>
          <w:pgMar w:top="846" w:right="566" w:bottom="252" w:left="1133" w:header="0" w:footer="0" w:gutter="0"/>
          <w:cols w:space="720" w:equalWidth="0">
            <w:col w:w="10207"/>
          </w:cols>
        </w:sectPr>
      </w:pPr>
    </w:p>
    <w:p w:rsidR="00A12EB2" w:rsidRDefault="002108AD">
      <w:pPr>
        <w:ind w:left="7"/>
        <w:rPr>
          <w:sz w:val="20"/>
          <w:szCs w:val="20"/>
        </w:rPr>
      </w:pPr>
      <w:r w:rsidRPr="002108AD">
        <w:rPr>
          <w:rFonts w:eastAsia="Times New Roman"/>
          <w:b/>
          <w:bCs/>
          <w:i/>
          <w:iCs/>
          <w:sz w:val="24"/>
          <w:szCs w:val="24"/>
          <w:u w:val="single"/>
        </w:rPr>
        <w:lastRenderedPageBreak/>
        <w:t>Investment budget</w:t>
      </w:r>
      <w:r w:rsidR="000258DF">
        <w:rPr>
          <w:rFonts w:eastAsia="Times New Roman"/>
          <w:b/>
          <w:bCs/>
          <w:i/>
          <w:iCs/>
          <w:sz w:val="24"/>
          <w:szCs w:val="24"/>
          <w:u w:val="single"/>
        </w:rPr>
        <w:t>:</w:t>
      </w:r>
    </w:p>
    <w:p w:rsidR="00A12EB2" w:rsidRDefault="00A12EB2">
      <w:pPr>
        <w:spacing w:line="7" w:lineRule="exact"/>
        <w:rPr>
          <w:sz w:val="20"/>
          <w:szCs w:val="20"/>
        </w:rPr>
      </w:pPr>
    </w:p>
    <w:p w:rsidR="002108AD" w:rsidRPr="002108AD" w:rsidRDefault="002108AD" w:rsidP="002108AD">
      <w:pPr>
        <w:numPr>
          <w:ilvl w:val="0"/>
          <w:numId w:val="6"/>
        </w:numPr>
        <w:tabs>
          <w:tab w:val="left" w:pos="1068"/>
        </w:tabs>
        <w:spacing w:line="234" w:lineRule="auto"/>
        <w:ind w:firstLine="709"/>
        <w:rPr>
          <w:rFonts w:eastAsia="Times New Roman"/>
          <w:sz w:val="24"/>
          <w:szCs w:val="24"/>
        </w:rPr>
      </w:pPr>
      <w:r w:rsidRPr="002108AD">
        <w:rPr>
          <w:rFonts w:eastAsia="Times New Roman"/>
          <w:sz w:val="24"/>
          <w:szCs w:val="24"/>
        </w:rPr>
        <w:t xml:space="preserve">The works stipulated by the investment program for 2015 were completed on time and in full. With the plan of 5,279.2 million </w:t>
      </w:r>
      <w:r w:rsidR="00C32D7F">
        <w:rPr>
          <w:rFonts w:eastAsia="Times New Roman"/>
          <w:sz w:val="24"/>
          <w:szCs w:val="24"/>
        </w:rPr>
        <w:t>KZT</w:t>
      </w:r>
      <w:r w:rsidRPr="002108AD">
        <w:rPr>
          <w:rFonts w:eastAsia="Times New Roman"/>
          <w:sz w:val="24"/>
          <w:szCs w:val="24"/>
        </w:rPr>
        <w:t xml:space="preserve">, actual development amounted to 5,364.1 million </w:t>
      </w:r>
      <w:r w:rsidR="00C32D7F">
        <w:rPr>
          <w:rFonts w:eastAsia="Times New Roman"/>
          <w:sz w:val="24"/>
          <w:szCs w:val="24"/>
        </w:rPr>
        <w:t>KZT</w:t>
      </w:r>
      <w:r w:rsidRPr="002108AD">
        <w:rPr>
          <w:rFonts w:eastAsia="Times New Roman"/>
          <w:sz w:val="24"/>
          <w:szCs w:val="24"/>
        </w:rPr>
        <w:t xml:space="preserve"> or 102%. Including projects:</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Construction of Aktau-Karazhanbas power transmission line-220kV with auto-transformer 1х125МВА at </w:t>
      </w:r>
      <w:r w:rsidR="001C1C3D" w:rsidRPr="001C1C3D">
        <w:rPr>
          <w:rFonts w:eastAsia="Times New Roman"/>
          <w:sz w:val="24"/>
          <w:szCs w:val="24"/>
        </w:rPr>
        <w:t>Management of the implementation of construction projects</w:t>
      </w:r>
      <w:r w:rsidRPr="002108AD">
        <w:rPr>
          <w:rFonts w:eastAsia="Times New Roman"/>
          <w:sz w:val="24"/>
          <w:szCs w:val="24"/>
        </w:rPr>
        <w:t xml:space="preserve"> "Karazhanbas", actual development amounted to 939.9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Construction of Aktau-Uzen power transmission line-220kV with autotransformers of 1x250MVA in the oil fields of the Uzen field, the actual development amounted to 34.4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Construction of the regional dispatch center, the actual development amounted to 1,173.8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Implementation of the project on automated metering system in the networks 6-10 / 0.4kV </w:t>
      </w:r>
      <w:r w:rsidR="00116912" w:rsidRPr="00116912">
        <w:rPr>
          <w:rFonts w:eastAsia="Times New Roman"/>
          <w:sz w:val="24"/>
          <w:szCs w:val="24"/>
        </w:rPr>
        <w:t>JSC "MPDC"</w:t>
      </w:r>
      <w:r w:rsidRPr="002108AD">
        <w:rPr>
          <w:rFonts w:eastAsia="Times New Roman"/>
          <w:sz w:val="24"/>
          <w:szCs w:val="24"/>
        </w:rPr>
        <w:t xml:space="preserve"> with the introduction of remote control and telemetry, the actual development amounted to 2 571.6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Reconstruction of the 110/10 kV Akshukur substation, the actual development amounted to 19.2 million </w:t>
      </w:r>
      <w:r w:rsidR="00C32D7F">
        <w:rPr>
          <w:rFonts w:eastAsia="Times New Roman"/>
          <w:sz w:val="24"/>
          <w:szCs w:val="24"/>
        </w:rPr>
        <w:t>KZT</w:t>
      </w:r>
      <w:r w:rsidRPr="002108AD">
        <w:rPr>
          <w:rFonts w:eastAsia="Times New Roman"/>
          <w:sz w:val="24"/>
          <w:szCs w:val="24"/>
        </w:rPr>
        <w:t>. Completed work on the following projects:</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Construction of the repair and production plant of Zhetybaysky RES, development amounted to 45.0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Replacement of </w:t>
      </w:r>
      <w:r w:rsidR="0067228A">
        <w:rPr>
          <w:rFonts w:eastAsia="Times New Roman"/>
          <w:sz w:val="24"/>
          <w:szCs w:val="24"/>
        </w:rPr>
        <w:t>short-circuit breakers</w:t>
      </w:r>
      <w:r w:rsidRPr="002108AD">
        <w:rPr>
          <w:rFonts w:eastAsia="Times New Roman"/>
          <w:sz w:val="24"/>
          <w:szCs w:val="24"/>
        </w:rPr>
        <w:t xml:space="preserve">-110 kV with gas-insulated circuit breakers at 110/6 kV Karazhanbas-2 substation, development amounted to 17.7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Replacement of </w:t>
      </w:r>
      <w:r w:rsidR="0067228A">
        <w:rPr>
          <w:rFonts w:eastAsia="Times New Roman"/>
          <w:sz w:val="24"/>
          <w:szCs w:val="24"/>
        </w:rPr>
        <w:t>short-circuit breakers</w:t>
      </w:r>
      <w:r w:rsidRPr="002108AD">
        <w:rPr>
          <w:rFonts w:eastAsia="Times New Roman"/>
          <w:sz w:val="24"/>
          <w:szCs w:val="24"/>
        </w:rPr>
        <w:t xml:space="preserve">-110 kV with gas-insulated circuit breakers at 110/6 kV PTV SS, development amounted to 23.5 million </w:t>
      </w:r>
      <w:r w:rsidR="00C32D7F">
        <w:rPr>
          <w:rFonts w:eastAsia="Times New Roman"/>
          <w:sz w:val="24"/>
          <w:szCs w:val="24"/>
        </w:rPr>
        <w:t>KZT</w:t>
      </w:r>
      <w:r w:rsidRPr="002108AD">
        <w:rPr>
          <w:rFonts w:eastAsia="Times New Roman"/>
          <w:sz w:val="24"/>
          <w:szCs w:val="24"/>
        </w:rPr>
        <w:t>;</w:t>
      </w:r>
    </w:p>
    <w:p w:rsidR="002108AD" w:rsidRPr="008B1394"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Replacement of </w:t>
      </w:r>
      <w:r w:rsidR="0067228A">
        <w:rPr>
          <w:rFonts w:eastAsia="Times New Roman"/>
          <w:sz w:val="24"/>
          <w:szCs w:val="24"/>
        </w:rPr>
        <w:t>short-</w:t>
      </w:r>
      <w:r w:rsidR="0067228A" w:rsidRPr="008B1394">
        <w:rPr>
          <w:rFonts w:eastAsia="Times New Roman"/>
          <w:sz w:val="24"/>
          <w:szCs w:val="24"/>
        </w:rPr>
        <w:t>circuit breakers</w:t>
      </w:r>
      <w:r w:rsidRPr="008B1394">
        <w:rPr>
          <w:rFonts w:eastAsia="Times New Roman"/>
          <w:sz w:val="24"/>
          <w:szCs w:val="24"/>
        </w:rPr>
        <w:t xml:space="preserve">-110 kV with gas-insulated circuit breakers at 110/35/10 kV SS Fort, development amounted to 10.3 million </w:t>
      </w:r>
      <w:r w:rsidR="00C32D7F" w:rsidRPr="008B1394">
        <w:rPr>
          <w:rFonts w:eastAsia="Times New Roman"/>
          <w:sz w:val="24"/>
          <w:szCs w:val="24"/>
        </w:rPr>
        <w:t>KZT</w:t>
      </w:r>
      <w:r w:rsidRPr="008B1394">
        <w:rPr>
          <w:rFonts w:eastAsia="Times New Roman"/>
          <w:sz w:val="24"/>
          <w:szCs w:val="24"/>
        </w:rPr>
        <w:t>;</w:t>
      </w:r>
    </w:p>
    <w:p w:rsidR="002108AD" w:rsidRPr="008B1394" w:rsidRDefault="002108AD" w:rsidP="0034530B">
      <w:pPr>
        <w:tabs>
          <w:tab w:val="left" w:pos="1068"/>
        </w:tabs>
        <w:spacing w:line="234" w:lineRule="auto"/>
        <w:ind w:firstLine="709"/>
        <w:rPr>
          <w:rFonts w:eastAsia="Times New Roman"/>
          <w:sz w:val="24"/>
          <w:szCs w:val="24"/>
        </w:rPr>
      </w:pPr>
      <w:r w:rsidRPr="008B1394">
        <w:rPr>
          <w:rFonts w:eastAsia="Times New Roman"/>
          <w:sz w:val="24"/>
          <w:szCs w:val="24"/>
        </w:rPr>
        <w:t xml:space="preserve">- Replacing the </w:t>
      </w:r>
      <w:r w:rsidR="0067228A" w:rsidRPr="008B1394">
        <w:rPr>
          <w:rFonts w:eastAsia="Times New Roman"/>
          <w:sz w:val="24"/>
          <w:szCs w:val="24"/>
        </w:rPr>
        <w:t>short-circuit breakers</w:t>
      </w:r>
      <w:r w:rsidRPr="008B1394">
        <w:rPr>
          <w:rFonts w:eastAsia="Times New Roman"/>
          <w:sz w:val="24"/>
          <w:szCs w:val="24"/>
        </w:rPr>
        <w:t xml:space="preserve">-35kV with gas-insulated circuit breakers at 35/6 kV Karernaya substation, development amounted to 5.2 million </w:t>
      </w:r>
      <w:r w:rsidR="00C32D7F" w:rsidRPr="008B1394">
        <w:rPr>
          <w:rFonts w:eastAsia="Times New Roman"/>
          <w:sz w:val="24"/>
          <w:szCs w:val="24"/>
        </w:rPr>
        <w:t>KZT</w:t>
      </w:r>
      <w:r w:rsidRPr="008B1394">
        <w:rPr>
          <w:rFonts w:eastAsia="Times New Roman"/>
          <w:sz w:val="24"/>
          <w:szCs w:val="24"/>
        </w:rPr>
        <w:t>;</w:t>
      </w:r>
    </w:p>
    <w:p w:rsidR="002108AD" w:rsidRPr="008B1394" w:rsidRDefault="002108AD" w:rsidP="0034530B">
      <w:pPr>
        <w:tabs>
          <w:tab w:val="left" w:pos="1068"/>
        </w:tabs>
        <w:spacing w:line="234" w:lineRule="auto"/>
        <w:ind w:firstLine="709"/>
        <w:rPr>
          <w:rFonts w:eastAsia="Times New Roman"/>
          <w:sz w:val="24"/>
          <w:szCs w:val="24"/>
        </w:rPr>
      </w:pPr>
      <w:r w:rsidRPr="008B1394">
        <w:rPr>
          <w:rFonts w:eastAsia="Times New Roman"/>
          <w:sz w:val="24"/>
          <w:szCs w:val="24"/>
        </w:rPr>
        <w:t xml:space="preserve">- Modernization of </w:t>
      </w:r>
      <w:r w:rsidR="00B517D6" w:rsidRPr="008B1394">
        <w:rPr>
          <w:rFonts w:eastAsia="Times New Roman"/>
          <w:sz w:val="24"/>
          <w:szCs w:val="24"/>
        </w:rPr>
        <w:t>Package outdoor switchgear</w:t>
      </w:r>
      <w:r w:rsidRPr="008B1394">
        <w:rPr>
          <w:rFonts w:eastAsia="Times New Roman"/>
          <w:sz w:val="24"/>
          <w:szCs w:val="24"/>
        </w:rPr>
        <w:t xml:space="preserve">-6 kV cells at </w:t>
      </w:r>
      <w:r w:rsidR="00674AB9">
        <w:rPr>
          <w:rFonts w:eastAsia="Times New Roman"/>
          <w:sz w:val="24"/>
          <w:szCs w:val="24"/>
        </w:rPr>
        <w:t>Zhetybay</w:t>
      </w:r>
      <w:r w:rsidRPr="008B1394">
        <w:rPr>
          <w:rFonts w:eastAsia="Times New Roman"/>
          <w:sz w:val="24"/>
          <w:szCs w:val="24"/>
        </w:rPr>
        <w:t xml:space="preserve">, development amounted to 60.5 million </w:t>
      </w:r>
      <w:r w:rsidR="00C32D7F" w:rsidRPr="008B1394">
        <w:rPr>
          <w:rFonts w:eastAsia="Times New Roman"/>
          <w:sz w:val="24"/>
          <w:szCs w:val="24"/>
        </w:rPr>
        <w:t>KZT</w:t>
      </w:r>
      <w:r w:rsidRPr="008B1394">
        <w:rPr>
          <w:rFonts w:eastAsia="Times New Roman"/>
          <w:sz w:val="24"/>
          <w:szCs w:val="24"/>
        </w:rPr>
        <w:t>. The works on the development of a feasibility study, as well as design estimates, on projects:</w:t>
      </w:r>
    </w:p>
    <w:p w:rsidR="002108AD" w:rsidRPr="002108AD" w:rsidRDefault="002108AD" w:rsidP="0034530B">
      <w:pPr>
        <w:tabs>
          <w:tab w:val="left" w:pos="1068"/>
        </w:tabs>
        <w:spacing w:line="234" w:lineRule="auto"/>
        <w:ind w:firstLine="709"/>
        <w:rPr>
          <w:rFonts w:eastAsia="Times New Roman"/>
          <w:sz w:val="24"/>
          <w:szCs w:val="24"/>
        </w:rPr>
      </w:pPr>
      <w:r w:rsidRPr="008B1394">
        <w:rPr>
          <w:rFonts w:eastAsia="Times New Roman"/>
          <w:sz w:val="24"/>
          <w:szCs w:val="24"/>
        </w:rPr>
        <w:t>- Construction of 110kV power transmission lines from Uzen -220kV Substation to 110/35 / 6kV Substation Plateau, the length (1x18.7 km) with the replacement</w:t>
      </w:r>
      <w:r w:rsidRPr="002108AD">
        <w:rPr>
          <w:rFonts w:eastAsia="Times New Roman"/>
          <w:sz w:val="24"/>
          <w:szCs w:val="24"/>
        </w:rPr>
        <w:t xml:space="preserve"> of a 1x40MVA transformer, the development amounted to 21.3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of 6kV switchgear at 110 / 6kV PS "PTV" with the replacement of 6 kV indoor switchgear with a </w:t>
      </w:r>
      <w:r w:rsidR="00B517D6">
        <w:rPr>
          <w:rFonts w:eastAsia="Times New Roman"/>
          <w:sz w:val="24"/>
          <w:szCs w:val="24"/>
        </w:rPr>
        <w:t>Package outdoor switchgear</w:t>
      </w:r>
      <w:r w:rsidRPr="002108AD">
        <w:rPr>
          <w:rFonts w:eastAsia="Times New Roman"/>
          <w:sz w:val="24"/>
          <w:szCs w:val="24"/>
        </w:rPr>
        <w:t xml:space="preserve">-6kV substation, development amounted to 7.3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Reconstruction of the outdoor switchgear equipment-35kV, 110kV with replacement of the </w:t>
      </w:r>
      <w:r w:rsidR="0067228A">
        <w:rPr>
          <w:rFonts w:eastAsia="Times New Roman"/>
          <w:sz w:val="24"/>
          <w:szCs w:val="24"/>
        </w:rPr>
        <w:t>short-circuit breakers</w:t>
      </w:r>
      <w:r w:rsidRPr="002108AD">
        <w:rPr>
          <w:rFonts w:eastAsia="Times New Roman"/>
          <w:sz w:val="24"/>
          <w:szCs w:val="24"/>
        </w:rPr>
        <w:t xml:space="preserve">-110kV and installation of 35kV reclosers at 110/35 / 6kV "Vostochny </w:t>
      </w:r>
      <w:r w:rsidR="00674AB9">
        <w:rPr>
          <w:rFonts w:eastAsia="Times New Roman"/>
          <w:sz w:val="24"/>
          <w:szCs w:val="24"/>
        </w:rPr>
        <w:t>Zhetybay</w:t>
      </w:r>
      <w:r w:rsidRPr="002108AD">
        <w:rPr>
          <w:rFonts w:eastAsia="Times New Roman"/>
          <w:sz w:val="24"/>
          <w:szCs w:val="24"/>
        </w:rPr>
        <w:t xml:space="preserve">" substation, development amounted to 60.3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equipment of 35 kV outdoor switchgear at 110/35/6 kV substation, Vpadina substation, and Plato substation, development amounted to 0.9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Reconstruction of distribution networks with the replacement of KTP, development amounted to 1.6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The feasibility study for the installation of a lightning motor with fiber-optic lines on 110 kV overhead lines and 220 kV overhead lines of </w:t>
      </w:r>
      <w:r w:rsidR="00116912" w:rsidRPr="00116912">
        <w:rPr>
          <w:rFonts w:eastAsia="Times New Roman"/>
          <w:sz w:val="24"/>
          <w:szCs w:val="24"/>
        </w:rPr>
        <w:t>JSC "MPDC"</w:t>
      </w:r>
      <w:r w:rsidRPr="002108AD">
        <w:rPr>
          <w:rFonts w:eastAsia="Times New Roman"/>
          <w:sz w:val="24"/>
          <w:szCs w:val="24"/>
        </w:rPr>
        <w:t xml:space="preserve">, the development amounted to 9.0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Feasibility study for gas supply of the base of JSC "</w:t>
      </w:r>
      <w:r w:rsidR="00116912" w:rsidRPr="00116912">
        <w:t xml:space="preserve"> </w:t>
      </w:r>
      <w:r w:rsidR="00116912" w:rsidRPr="00116912">
        <w:rPr>
          <w:rFonts w:eastAsia="Times New Roman"/>
          <w:sz w:val="24"/>
          <w:szCs w:val="24"/>
        </w:rPr>
        <w:t>MPDC</w:t>
      </w:r>
      <w:r w:rsidRPr="002108AD">
        <w:rPr>
          <w:rFonts w:eastAsia="Times New Roman"/>
          <w:sz w:val="24"/>
          <w:szCs w:val="24"/>
        </w:rPr>
        <w:t xml:space="preserve">" to reduce electricity consumption for own needs under the program of Energy Saving and Energy Efficiency, development amounted to 2.0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Replacement of power transformers at 35 / 6kV “</w:t>
      </w:r>
      <w:r w:rsidR="00674AB9">
        <w:rPr>
          <w:rFonts w:eastAsia="Times New Roman"/>
          <w:sz w:val="24"/>
          <w:szCs w:val="24"/>
        </w:rPr>
        <w:t>Blocks of control of pumping stations</w:t>
      </w:r>
      <w:r w:rsidRPr="002108AD">
        <w:rPr>
          <w:rFonts w:eastAsia="Times New Roman"/>
          <w:sz w:val="24"/>
          <w:szCs w:val="24"/>
        </w:rPr>
        <w:t xml:space="preserve">-2” substation with a capacity of 2x6.3 MVA by 2x10 MVA, the development amounted to 0.6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110 kV outdoor switchgear equipment at 220/110 / 10kV Uzen substation; cell number 1,2,7,8,11,12,15,16,24,25,26,27,28,29,30 , 31.32, development amounted to 42.3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lastRenderedPageBreak/>
        <w:t xml:space="preserve">- Modernization (reconstruction) of the outdoor switchgear equipment of 35, 110 and 6 kV switchgear of 110/35/6 kV Gorodskaya substation, development amounted to 4.2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the 6 kV indoor switchgear of the 110/6 kV Karamandybas substation, 110/6 kV </w:t>
      </w:r>
      <w:r w:rsidR="001C1C3D" w:rsidRPr="001C1C3D">
        <w:rPr>
          <w:rFonts w:eastAsia="Times New Roman"/>
          <w:sz w:val="24"/>
          <w:szCs w:val="24"/>
        </w:rPr>
        <w:t xml:space="preserve">substation </w:t>
      </w:r>
      <w:r w:rsidRPr="002108AD">
        <w:rPr>
          <w:rFonts w:eastAsia="Times New Roman"/>
          <w:sz w:val="24"/>
          <w:szCs w:val="24"/>
        </w:rPr>
        <w:t xml:space="preserve">Thermalnaya and the modernization of the Relay Protection and Automatic Equipment of the substation, development amounted to 1.1 million </w:t>
      </w:r>
      <w:r w:rsidR="00C32D7F">
        <w:rPr>
          <w:rFonts w:eastAsia="Times New Roman"/>
          <w:sz w:val="24"/>
          <w:szCs w:val="24"/>
        </w:rPr>
        <w:t>KZT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the 110 kV outdoor switchgear and 6 kV outdoor switchgear of the 110 / 6-6kV Industrial Zone substation, the development amounted to 3.2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equipment of 35 kV outdoor switchgear and 6 kV outdoor switchgear of 35 / 6kV Glinzavod substation and 35/6 kV Vostochnaya substation, development amounted to 1.1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35kV outdoor switchgear of 35/6kV Sauskan substation, development amounted to 0.4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35 kV outdoor switchgear and 6.10 kV switchgear at 35 \ 10 kV </w:t>
      </w:r>
      <w:r w:rsidR="00116912">
        <w:rPr>
          <w:rFonts w:eastAsia="Times New Roman"/>
          <w:sz w:val="24"/>
          <w:szCs w:val="24"/>
          <w:lang w:val="en-US"/>
        </w:rPr>
        <w:t>substation</w:t>
      </w:r>
      <w:r w:rsidRPr="002108AD">
        <w:rPr>
          <w:rFonts w:eastAsia="Times New Roman"/>
          <w:sz w:val="24"/>
          <w:szCs w:val="24"/>
        </w:rPr>
        <w:t xml:space="preserve"> Tigen, Zharmysh, Kyzyl-Turan, Ushtagan, Shaiyr, Kyzan, Tushchykuduk, Karyernaya (Beyneu), development amounted to 6.1 million </w:t>
      </w:r>
      <w:r w:rsidR="00C32D7F">
        <w:rPr>
          <w:rFonts w:eastAsia="Times New Roman"/>
          <w:sz w:val="24"/>
          <w:szCs w:val="24"/>
        </w:rPr>
        <w:t>KZT</w:t>
      </w:r>
      <w:r w:rsidRPr="002108AD">
        <w:rPr>
          <w:rFonts w:eastAsia="Times New Roman"/>
          <w:sz w:val="24"/>
          <w:szCs w:val="24"/>
        </w:rPr>
        <w:t xml:space="preserve"> ;</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Reconstruction of 110 kV outdoor switchgear equipment with replacement of </w:t>
      </w:r>
      <w:r w:rsidR="0067228A" w:rsidRPr="00B517D6">
        <w:rPr>
          <w:rFonts w:eastAsia="Times New Roman"/>
          <w:sz w:val="24"/>
          <w:szCs w:val="24"/>
        </w:rPr>
        <w:t>short-circuit breakers</w:t>
      </w:r>
      <w:r w:rsidRPr="00B517D6">
        <w:rPr>
          <w:rFonts w:eastAsia="Times New Roman"/>
          <w:sz w:val="24"/>
          <w:szCs w:val="24"/>
        </w:rPr>
        <w:t xml:space="preserve">-110 kV and modernization of the Relay Protection and Automatic Equipment of the 110/6 kV Prombaza substation, development amounted to 61.0 million </w:t>
      </w:r>
      <w:r w:rsidR="00C32D7F">
        <w:rPr>
          <w:rFonts w:eastAsia="Times New Roman"/>
          <w:sz w:val="24"/>
          <w:szCs w:val="24"/>
        </w:rPr>
        <w:t>KZT</w:t>
      </w:r>
      <w:r w:rsidRPr="00B517D6">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Replacement of </w:t>
      </w:r>
      <w:r w:rsidR="00B517D6">
        <w:rPr>
          <w:rFonts w:eastAsia="Times New Roman"/>
          <w:sz w:val="24"/>
          <w:szCs w:val="24"/>
        </w:rPr>
        <w:t>Package outdoor switchgear</w:t>
      </w:r>
      <w:r w:rsidRPr="002108AD">
        <w:rPr>
          <w:rFonts w:eastAsia="Times New Roman"/>
          <w:sz w:val="24"/>
          <w:szCs w:val="24"/>
        </w:rPr>
        <w:t xml:space="preserve">-6kV at 110/6kV Karazhanbas-2 substation, development amounted to 7.3 million </w:t>
      </w:r>
      <w:r w:rsidR="00C32D7F">
        <w:rPr>
          <w:rFonts w:eastAsia="Times New Roman"/>
          <w:sz w:val="24"/>
          <w:szCs w:val="24"/>
        </w:rPr>
        <w:t>KZT</w:t>
      </w:r>
      <w:r w:rsidRPr="002108AD">
        <w:rPr>
          <w:rFonts w:eastAsia="Times New Roman"/>
          <w:sz w:val="24"/>
          <w:szCs w:val="24"/>
        </w:rPr>
        <w:t>;</w:t>
      </w:r>
    </w:p>
    <w:p w:rsidR="002108AD"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Modernization (reconstruction) of equipment of 35 kV outdoor switchgear at 35 / 6kV substation </w:t>
      </w:r>
      <w:r w:rsidR="00674AB9">
        <w:rPr>
          <w:rFonts w:eastAsia="Times New Roman"/>
          <w:sz w:val="24"/>
          <w:szCs w:val="24"/>
        </w:rPr>
        <w:t>Blocks of control of pumping stations</w:t>
      </w:r>
      <w:r w:rsidRPr="002108AD">
        <w:rPr>
          <w:rFonts w:eastAsia="Times New Roman"/>
          <w:sz w:val="24"/>
          <w:szCs w:val="24"/>
        </w:rPr>
        <w:t xml:space="preserve">-2,3,4,5, Tasbulat, Beket-Ata, Akkudyk, Akzhigit, development amounted to 3.5 million </w:t>
      </w:r>
      <w:r w:rsidR="00C32D7F">
        <w:rPr>
          <w:rFonts w:eastAsia="Times New Roman"/>
          <w:sz w:val="24"/>
          <w:szCs w:val="24"/>
        </w:rPr>
        <w:t>KZT</w:t>
      </w:r>
      <w:r w:rsidRPr="002108AD">
        <w:rPr>
          <w:rFonts w:eastAsia="Times New Roman"/>
          <w:sz w:val="24"/>
          <w:szCs w:val="24"/>
        </w:rPr>
        <w:t>;</w:t>
      </w:r>
    </w:p>
    <w:p w:rsidR="00A12EB2" w:rsidRPr="002108AD" w:rsidRDefault="002108AD" w:rsidP="0034530B">
      <w:pPr>
        <w:tabs>
          <w:tab w:val="left" w:pos="1068"/>
        </w:tabs>
        <w:spacing w:line="234" w:lineRule="auto"/>
        <w:ind w:firstLine="709"/>
        <w:rPr>
          <w:rFonts w:eastAsia="Times New Roman"/>
          <w:sz w:val="24"/>
          <w:szCs w:val="24"/>
        </w:rPr>
      </w:pPr>
      <w:r w:rsidRPr="002108AD">
        <w:rPr>
          <w:rFonts w:eastAsia="Times New Roman"/>
          <w:sz w:val="24"/>
          <w:szCs w:val="24"/>
        </w:rPr>
        <w:t xml:space="preserve">- Services for the development of the project "Water supply with drinking water of the repair and production base", development amounted to 5.6 million </w:t>
      </w:r>
      <w:r w:rsidR="00C32D7F">
        <w:rPr>
          <w:rFonts w:eastAsia="Times New Roman"/>
          <w:sz w:val="24"/>
          <w:szCs w:val="24"/>
        </w:rPr>
        <w:t>KZT</w:t>
      </w:r>
      <w:r w:rsidR="000258DF" w:rsidRPr="002108AD">
        <w:rPr>
          <w:rFonts w:eastAsia="Times New Roman"/>
          <w:sz w:val="24"/>
          <w:szCs w:val="24"/>
        </w:rPr>
        <w:t>.</w:t>
      </w:r>
    </w:p>
    <w:p w:rsidR="00A12EB2" w:rsidRDefault="00A12EB2">
      <w:pPr>
        <w:spacing w:line="282" w:lineRule="exact"/>
        <w:rPr>
          <w:sz w:val="20"/>
          <w:szCs w:val="20"/>
        </w:rPr>
      </w:pPr>
    </w:p>
    <w:p w:rsidR="00A12EB2" w:rsidRDefault="0034530B">
      <w:pPr>
        <w:ind w:left="7"/>
        <w:rPr>
          <w:sz w:val="20"/>
          <w:szCs w:val="20"/>
        </w:rPr>
      </w:pPr>
      <w:r w:rsidRPr="0034530B">
        <w:rPr>
          <w:rFonts w:eastAsia="Times New Roman"/>
          <w:b/>
          <w:bCs/>
          <w:i/>
          <w:iCs/>
          <w:sz w:val="24"/>
          <w:szCs w:val="24"/>
          <w:u w:val="single"/>
        </w:rPr>
        <w:t>Overhaul and replacement of assets for equivalent</w:t>
      </w:r>
      <w:r w:rsidR="000258DF">
        <w:rPr>
          <w:rFonts w:eastAsia="Times New Roman"/>
          <w:b/>
          <w:bCs/>
          <w:i/>
          <w:iCs/>
          <w:sz w:val="24"/>
          <w:szCs w:val="24"/>
          <w:u w:val="single"/>
        </w:rPr>
        <w:t>:</w:t>
      </w:r>
    </w:p>
    <w:p w:rsidR="00A12EB2" w:rsidRDefault="00A12EB2">
      <w:pPr>
        <w:spacing w:line="7" w:lineRule="exact"/>
        <w:rPr>
          <w:sz w:val="20"/>
          <w:szCs w:val="20"/>
        </w:rPr>
      </w:pPr>
    </w:p>
    <w:p w:rsidR="0034530B" w:rsidRPr="0034530B" w:rsidRDefault="0034530B" w:rsidP="0034530B">
      <w:pPr>
        <w:ind w:firstLine="709"/>
        <w:rPr>
          <w:rFonts w:eastAsia="Times New Roman"/>
          <w:sz w:val="24"/>
          <w:szCs w:val="24"/>
        </w:rPr>
      </w:pPr>
      <w:r w:rsidRPr="0034530B">
        <w:rPr>
          <w:rFonts w:eastAsia="Times New Roman"/>
          <w:sz w:val="24"/>
          <w:szCs w:val="24"/>
        </w:rPr>
        <w:t xml:space="preserve">The plan provided for an amount of 286.5 million </w:t>
      </w:r>
      <w:r w:rsidR="00C32D7F">
        <w:rPr>
          <w:rFonts w:eastAsia="Times New Roman"/>
          <w:sz w:val="24"/>
          <w:szCs w:val="24"/>
        </w:rPr>
        <w:t>KZT</w:t>
      </w:r>
      <w:r w:rsidRPr="0034530B">
        <w:rPr>
          <w:rFonts w:eastAsia="Times New Roman"/>
          <w:sz w:val="24"/>
          <w:szCs w:val="24"/>
        </w:rPr>
        <w:t xml:space="preserve">, the actual performance amounted to 260.6 million </w:t>
      </w:r>
      <w:r w:rsidR="00C32D7F">
        <w:rPr>
          <w:rFonts w:eastAsia="Times New Roman"/>
          <w:sz w:val="24"/>
          <w:szCs w:val="24"/>
        </w:rPr>
        <w:t>KZT</w:t>
      </w:r>
      <w:r w:rsidRPr="0034530B">
        <w:rPr>
          <w:rFonts w:eastAsia="Times New Roman"/>
          <w:sz w:val="24"/>
          <w:szCs w:val="24"/>
        </w:rPr>
        <w:t>. Production equipment, devices and installations, technological vehicles, furniture for industrial premises, household and computer equipment for industrial premises, software were purchased.</w:t>
      </w:r>
    </w:p>
    <w:p w:rsidR="0034530B" w:rsidRPr="0034530B" w:rsidRDefault="0034530B" w:rsidP="0034530B">
      <w:pPr>
        <w:ind w:firstLine="709"/>
        <w:rPr>
          <w:rFonts w:eastAsia="Times New Roman"/>
          <w:sz w:val="24"/>
          <w:szCs w:val="24"/>
        </w:rPr>
      </w:pPr>
    </w:p>
    <w:p w:rsidR="00A12EB2" w:rsidRDefault="0034530B" w:rsidP="0034530B">
      <w:pPr>
        <w:ind w:firstLine="709"/>
        <w:rPr>
          <w:rFonts w:eastAsia="Times New Roman"/>
          <w:sz w:val="24"/>
          <w:szCs w:val="24"/>
        </w:rPr>
      </w:pPr>
      <w:r w:rsidRPr="0034530B">
        <w:rPr>
          <w:rFonts w:eastAsia="Times New Roman"/>
          <w:sz w:val="24"/>
          <w:szCs w:val="24"/>
        </w:rPr>
        <w:t>The savings resulted from an open tender and actually concluded contracts, as well as the plan provided for the delivery of a cargo-passenger vehicle intended for the transport of equipment and other special-purpose goods, but in fact implemented in early 2016</w:t>
      </w:r>
      <w:r w:rsidR="000258DF">
        <w:rPr>
          <w:rFonts w:eastAsia="Times New Roman"/>
          <w:sz w:val="24"/>
          <w:szCs w:val="24"/>
        </w:rPr>
        <w:t>.</w:t>
      </w:r>
    </w:p>
    <w:p w:rsidR="00A12EB2" w:rsidRDefault="00A12EB2">
      <w:pPr>
        <w:spacing w:line="282" w:lineRule="exact"/>
        <w:rPr>
          <w:sz w:val="20"/>
          <w:szCs w:val="20"/>
        </w:rPr>
      </w:pPr>
    </w:p>
    <w:p w:rsidR="00A12EB2" w:rsidRDefault="0034530B">
      <w:pPr>
        <w:ind w:left="7"/>
        <w:rPr>
          <w:sz w:val="20"/>
          <w:szCs w:val="20"/>
        </w:rPr>
      </w:pPr>
      <w:r w:rsidRPr="0034530B">
        <w:rPr>
          <w:rFonts w:eastAsia="Times New Roman"/>
          <w:b/>
          <w:bCs/>
          <w:i/>
          <w:iCs/>
          <w:sz w:val="24"/>
          <w:szCs w:val="24"/>
          <w:u w:val="single"/>
        </w:rPr>
        <w:t>Sources of financing</w:t>
      </w:r>
      <w:r w:rsidR="000258DF">
        <w:rPr>
          <w:rFonts w:eastAsia="Times New Roman"/>
          <w:b/>
          <w:bCs/>
          <w:i/>
          <w:iCs/>
          <w:sz w:val="24"/>
          <w:szCs w:val="24"/>
          <w:u w:val="single"/>
        </w:rPr>
        <w:t>:</w:t>
      </w:r>
    </w:p>
    <w:p w:rsidR="00A12EB2" w:rsidRDefault="00A12EB2">
      <w:pPr>
        <w:spacing w:line="7" w:lineRule="exact"/>
        <w:rPr>
          <w:sz w:val="20"/>
          <w:szCs w:val="20"/>
        </w:rPr>
      </w:pPr>
    </w:p>
    <w:p w:rsidR="00A12EB2" w:rsidRDefault="0034530B">
      <w:pPr>
        <w:spacing w:line="236" w:lineRule="auto"/>
        <w:ind w:left="7" w:firstLine="708"/>
        <w:jc w:val="both"/>
        <w:rPr>
          <w:sz w:val="20"/>
          <w:szCs w:val="20"/>
        </w:rPr>
      </w:pPr>
      <w:r w:rsidRPr="0034530B">
        <w:rPr>
          <w:rFonts w:eastAsia="Times New Roman"/>
          <w:sz w:val="24"/>
          <w:szCs w:val="24"/>
        </w:rPr>
        <w:t>The investment program was implemented at the expense of own (accumulated depreciation, profit) and borrowed funds (issue of bonds) of the Company and did not affect the change in tariff.</w:t>
      </w:r>
      <w:r w:rsidR="000258DF">
        <w:rPr>
          <w:rFonts w:eastAsia="Times New Roman"/>
          <w:sz w:val="24"/>
          <w:szCs w:val="24"/>
        </w:rPr>
        <w:t>.</w:t>
      </w:r>
    </w:p>
    <w:p w:rsidR="00A12EB2" w:rsidRDefault="00A12EB2">
      <w:pPr>
        <w:spacing w:line="295" w:lineRule="exact"/>
        <w:rPr>
          <w:sz w:val="20"/>
          <w:szCs w:val="20"/>
        </w:rPr>
      </w:pPr>
    </w:p>
    <w:p w:rsidR="00A12EB2" w:rsidRDefault="0034530B" w:rsidP="0034530B">
      <w:pPr>
        <w:tabs>
          <w:tab w:val="left" w:pos="240"/>
        </w:tabs>
        <w:spacing w:line="234" w:lineRule="auto"/>
        <w:ind w:left="7" w:right="800"/>
        <w:rPr>
          <w:rFonts w:eastAsia="Times New Roman"/>
          <w:b/>
          <w:bCs/>
          <w:i/>
          <w:iCs/>
          <w:sz w:val="24"/>
          <w:szCs w:val="24"/>
          <w:u w:val="single"/>
        </w:rPr>
      </w:pPr>
      <w:r w:rsidRPr="0034530B">
        <w:rPr>
          <w:rFonts w:eastAsia="Times New Roman"/>
          <w:b/>
          <w:bCs/>
          <w:i/>
          <w:iCs/>
          <w:sz w:val="24"/>
          <w:szCs w:val="24"/>
          <w:u w:val="single"/>
          <w:lang w:val="en-US"/>
        </w:rPr>
        <w:t>On the work carried out with consumers of the services of transmission and distribution of electric energy</w:t>
      </w:r>
      <w:r w:rsidR="000258DF">
        <w:rPr>
          <w:rFonts w:eastAsia="Times New Roman"/>
          <w:b/>
          <w:bCs/>
          <w:i/>
          <w:iCs/>
          <w:sz w:val="24"/>
          <w:szCs w:val="24"/>
          <w:u w:val="single"/>
        </w:rPr>
        <w:t>:</w:t>
      </w:r>
    </w:p>
    <w:p w:rsidR="00A12EB2" w:rsidRDefault="00A12EB2">
      <w:pPr>
        <w:spacing w:line="9" w:lineRule="exact"/>
        <w:rPr>
          <w:rFonts w:eastAsia="Times New Roman"/>
          <w:b/>
          <w:bCs/>
          <w:i/>
          <w:iCs/>
          <w:sz w:val="24"/>
          <w:szCs w:val="24"/>
          <w:u w:val="single"/>
        </w:rPr>
      </w:pPr>
    </w:p>
    <w:p w:rsidR="0034530B" w:rsidRPr="0034530B" w:rsidRDefault="00DB7B12" w:rsidP="0034530B">
      <w:pPr>
        <w:spacing w:line="237" w:lineRule="auto"/>
        <w:ind w:left="7" w:firstLine="708"/>
        <w:jc w:val="both"/>
        <w:rPr>
          <w:rFonts w:eastAsia="Times New Roman"/>
          <w:sz w:val="24"/>
          <w:szCs w:val="24"/>
        </w:rPr>
      </w:pPr>
      <w:r>
        <w:rPr>
          <w:rFonts w:eastAsia="Times New Roman"/>
          <w:sz w:val="24"/>
          <w:szCs w:val="24"/>
        </w:rPr>
        <w:t>JSC «MPDC»</w:t>
      </w:r>
      <w:r w:rsidR="0034530B" w:rsidRPr="0034530B">
        <w:rPr>
          <w:rFonts w:eastAsia="Times New Roman"/>
          <w:sz w:val="24"/>
          <w:szCs w:val="24"/>
        </w:rPr>
        <w:t xml:space="preserve"> provides reliable, uninterrupted supply of electricity to consumers at tariffs approved by the authorized body and creates long-term conditions for the development of the oil and gas industry through capital investments;</w:t>
      </w:r>
    </w:p>
    <w:p w:rsidR="0034530B" w:rsidRPr="0034530B" w:rsidRDefault="0034530B" w:rsidP="0034530B">
      <w:pPr>
        <w:spacing w:line="237" w:lineRule="auto"/>
        <w:ind w:left="7" w:firstLine="708"/>
        <w:jc w:val="both"/>
        <w:rPr>
          <w:rFonts w:eastAsia="Times New Roman"/>
          <w:sz w:val="24"/>
          <w:szCs w:val="24"/>
        </w:rPr>
      </w:pPr>
      <w:r w:rsidRPr="0034530B">
        <w:rPr>
          <w:rFonts w:eastAsia="Times New Roman"/>
          <w:sz w:val="24"/>
          <w:szCs w:val="24"/>
        </w:rPr>
        <w:t>Provides equal conditions to consumers according to, concluded contracts; The Company constantly works actively with consumers on strict observance of the rules of network operation, timely fulfillment of the terms of the contract:</w:t>
      </w:r>
    </w:p>
    <w:p w:rsidR="00A12EB2" w:rsidRDefault="0034530B" w:rsidP="0034530B">
      <w:pPr>
        <w:spacing w:line="237" w:lineRule="auto"/>
        <w:ind w:left="7" w:firstLine="708"/>
        <w:jc w:val="both"/>
        <w:rPr>
          <w:rFonts w:eastAsia="Times New Roman"/>
          <w:b/>
          <w:bCs/>
          <w:i/>
          <w:iCs/>
          <w:sz w:val="24"/>
          <w:szCs w:val="24"/>
          <w:u w:val="single"/>
        </w:rPr>
      </w:pPr>
      <w:r w:rsidRPr="0034530B">
        <w:rPr>
          <w:rFonts w:eastAsia="Times New Roman"/>
          <w:sz w:val="24"/>
          <w:szCs w:val="24"/>
        </w:rPr>
        <w:t>Work is underway to improve the quality of the services provided through capital repairs and capital investments in order to increase the capacity of transformers for the uninterrupted supply of electricity to consumers, as well as to provide the possibility of additional connection of electrical installations</w:t>
      </w:r>
      <w:r w:rsidR="000258DF">
        <w:rPr>
          <w:rFonts w:eastAsia="Times New Roman"/>
          <w:sz w:val="24"/>
          <w:szCs w:val="24"/>
        </w:rPr>
        <w:t>.</w:t>
      </w:r>
    </w:p>
    <w:p w:rsidR="00A12EB2" w:rsidRDefault="00A12EB2">
      <w:pPr>
        <w:spacing w:line="282" w:lineRule="exact"/>
        <w:rPr>
          <w:rFonts w:eastAsia="Times New Roman"/>
          <w:b/>
          <w:bCs/>
          <w:i/>
          <w:iCs/>
          <w:sz w:val="24"/>
          <w:szCs w:val="24"/>
          <w:u w:val="single"/>
        </w:rPr>
      </w:pPr>
    </w:p>
    <w:p w:rsidR="00A12EB2" w:rsidRDefault="0034530B" w:rsidP="00903BF3">
      <w:pPr>
        <w:tabs>
          <w:tab w:val="left" w:pos="227"/>
        </w:tabs>
        <w:ind w:left="227"/>
        <w:rPr>
          <w:rFonts w:eastAsia="Times New Roman"/>
          <w:b/>
          <w:bCs/>
          <w:i/>
          <w:iCs/>
          <w:sz w:val="24"/>
          <w:szCs w:val="24"/>
          <w:u w:val="single"/>
        </w:rPr>
      </w:pPr>
      <w:r w:rsidRPr="0034530B">
        <w:rPr>
          <w:rFonts w:eastAsia="Times New Roman"/>
          <w:b/>
          <w:bCs/>
          <w:i/>
          <w:iCs/>
          <w:sz w:val="24"/>
          <w:szCs w:val="24"/>
          <w:u w:val="single"/>
        </w:rPr>
        <w:t xml:space="preserve">On the prospects of the </w:t>
      </w:r>
      <w:r w:rsidR="00DB7B12">
        <w:rPr>
          <w:rFonts w:eastAsia="Times New Roman"/>
          <w:b/>
          <w:bCs/>
          <w:i/>
          <w:iCs/>
          <w:sz w:val="24"/>
          <w:szCs w:val="24"/>
          <w:u w:val="single"/>
        </w:rPr>
        <w:t>JSC «MPDC»</w:t>
      </w:r>
      <w:r w:rsidR="000258DF">
        <w:rPr>
          <w:rFonts w:eastAsia="Times New Roman"/>
          <w:b/>
          <w:bCs/>
          <w:i/>
          <w:iCs/>
          <w:sz w:val="24"/>
          <w:szCs w:val="24"/>
          <w:u w:val="single"/>
        </w:rPr>
        <w:t>:</w:t>
      </w:r>
    </w:p>
    <w:p w:rsidR="00A12EB2" w:rsidRDefault="00A12EB2">
      <w:pPr>
        <w:spacing w:line="7" w:lineRule="exact"/>
        <w:rPr>
          <w:rFonts w:eastAsia="Times New Roman"/>
          <w:b/>
          <w:bCs/>
          <w:i/>
          <w:iCs/>
          <w:sz w:val="24"/>
          <w:szCs w:val="24"/>
          <w:u w:val="single"/>
        </w:rPr>
      </w:pPr>
    </w:p>
    <w:p w:rsidR="00A12EB2" w:rsidRPr="00903BF3" w:rsidRDefault="0034530B" w:rsidP="0034530B">
      <w:pPr>
        <w:tabs>
          <w:tab w:val="left" w:pos="1046"/>
        </w:tabs>
        <w:spacing w:line="234" w:lineRule="auto"/>
        <w:ind w:left="708"/>
        <w:jc w:val="both"/>
        <w:rPr>
          <w:rFonts w:eastAsia="Times New Roman"/>
          <w:sz w:val="24"/>
          <w:szCs w:val="24"/>
          <w:lang w:val="en-US"/>
        </w:rPr>
      </w:pPr>
      <w:r w:rsidRPr="0034530B">
        <w:rPr>
          <w:rFonts w:eastAsia="Times New Roman"/>
          <w:sz w:val="24"/>
          <w:szCs w:val="24"/>
          <w:lang w:val="en-US"/>
        </w:rPr>
        <w:lastRenderedPageBreak/>
        <w:t xml:space="preserve">In the period from 2016–2020, </w:t>
      </w:r>
      <w:r w:rsidR="00DB7B12">
        <w:rPr>
          <w:rFonts w:eastAsia="Times New Roman"/>
          <w:sz w:val="24"/>
          <w:szCs w:val="24"/>
          <w:lang w:val="en-US"/>
        </w:rPr>
        <w:t>JSC «MPDC»</w:t>
      </w:r>
      <w:r w:rsidRPr="0034530B">
        <w:rPr>
          <w:rFonts w:eastAsia="Times New Roman"/>
          <w:sz w:val="24"/>
          <w:szCs w:val="24"/>
          <w:lang w:val="en-US"/>
        </w:rPr>
        <w:t xml:space="preserve"> plans to implement and complete the investment program for 2016–2020, approved by the </w:t>
      </w:r>
      <w:r w:rsidR="00903BF3" w:rsidRPr="003827DD">
        <w:rPr>
          <w:rFonts w:eastAsia="Times New Roman"/>
          <w:sz w:val="24"/>
          <w:szCs w:val="24"/>
          <w:lang w:val="en-US"/>
        </w:rPr>
        <w:t>DCRNM and PC</w:t>
      </w:r>
      <w:r w:rsidRPr="0034530B">
        <w:rPr>
          <w:rFonts w:eastAsia="Times New Roman"/>
          <w:sz w:val="24"/>
          <w:szCs w:val="24"/>
          <w:lang w:val="en-US"/>
        </w:rPr>
        <w:t xml:space="preserve"> for the </w:t>
      </w:r>
      <w:proofErr w:type="spellStart"/>
      <w:r w:rsidRPr="0034530B">
        <w:rPr>
          <w:rFonts w:eastAsia="Times New Roman"/>
          <w:sz w:val="24"/>
          <w:szCs w:val="24"/>
          <w:lang w:val="en-US"/>
        </w:rPr>
        <w:t>Mangystau</w:t>
      </w:r>
      <w:proofErr w:type="spellEnd"/>
      <w:r w:rsidRPr="0034530B">
        <w:rPr>
          <w:rFonts w:eastAsia="Times New Roman"/>
          <w:sz w:val="24"/>
          <w:szCs w:val="24"/>
          <w:lang w:val="en-US"/>
        </w:rPr>
        <w:t xml:space="preserve"> </w:t>
      </w:r>
      <w:r>
        <w:rPr>
          <w:rFonts w:eastAsia="Times New Roman"/>
          <w:sz w:val="24"/>
          <w:szCs w:val="24"/>
          <w:lang w:val="en-US"/>
        </w:rPr>
        <w:t>region</w:t>
      </w:r>
      <w:r w:rsidR="00903BF3" w:rsidRPr="00903BF3">
        <w:rPr>
          <w:rFonts w:eastAsia="Times New Roman"/>
          <w:sz w:val="24"/>
          <w:szCs w:val="24"/>
          <w:lang w:val="en-US"/>
        </w:rPr>
        <w:t>.</w:t>
      </w:r>
      <w:bookmarkStart w:id="0" w:name="_GoBack"/>
      <w:bookmarkEnd w:id="0"/>
    </w:p>
    <w:sectPr w:rsidR="00A12EB2" w:rsidRPr="00903BF3">
      <w:pgSz w:w="11900" w:h="16838"/>
      <w:pgMar w:top="854" w:right="566" w:bottom="144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8B682CA"/>
    <w:lvl w:ilvl="0" w:tplc="E0F0FD70">
      <w:start w:val="1"/>
      <w:numFmt w:val="bullet"/>
      <w:lvlText w:val="О"/>
      <w:lvlJc w:val="left"/>
    </w:lvl>
    <w:lvl w:ilvl="1" w:tplc="6C6E2508">
      <w:start w:val="1"/>
      <w:numFmt w:val="bullet"/>
      <w:lvlText w:val="В"/>
      <w:lvlJc w:val="left"/>
    </w:lvl>
    <w:lvl w:ilvl="2" w:tplc="0E0885DE">
      <w:numFmt w:val="decimal"/>
      <w:lvlText w:val=""/>
      <w:lvlJc w:val="left"/>
    </w:lvl>
    <w:lvl w:ilvl="3" w:tplc="39807732">
      <w:numFmt w:val="decimal"/>
      <w:lvlText w:val=""/>
      <w:lvlJc w:val="left"/>
    </w:lvl>
    <w:lvl w:ilvl="4" w:tplc="307C85B2">
      <w:numFmt w:val="decimal"/>
      <w:lvlText w:val=""/>
      <w:lvlJc w:val="left"/>
    </w:lvl>
    <w:lvl w:ilvl="5" w:tplc="8FF8A6EA">
      <w:numFmt w:val="decimal"/>
      <w:lvlText w:val=""/>
      <w:lvlJc w:val="left"/>
    </w:lvl>
    <w:lvl w:ilvl="6" w:tplc="EDEC2782">
      <w:numFmt w:val="decimal"/>
      <w:lvlText w:val=""/>
      <w:lvlJc w:val="left"/>
    </w:lvl>
    <w:lvl w:ilvl="7" w:tplc="31C0F7E0">
      <w:numFmt w:val="decimal"/>
      <w:lvlText w:val=""/>
      <w:lvlJc w:val="left"/>
    </w:lvl>
    <w:lvl w:ilvl="8" w:tplc="F73EC92E">
      <w:numFmt w:val="decimal"/>
      <w:lvlText w:val=""/>
      <w:lvlJc w:val="left"/>
    </w:lvl>
  </w:abstractNum>
  <w:abstractNum w:abstractNumId="1">
    <w:nsid w:val="00001649"/>
    <w:multiLevelType w:val="hybridMultilevel"/>
    <w:tmpl w:val="80A84CD6"/>
    <w:lvl w:ilvl="0" w:tplc="0428BF34">
      <w:start w:val="1"/>
      <w:numFmt w:val="bullet"/>
      <w:lvlText w:val="В"/>
      <w:lvlJc w:val="left"/>
    </w:lvl>
    <w:lvl w:ilvl="1" w:tplc="E1AE66F8">
      <w:numFmt w:val="decimal"/>
      <w:lvlText w:val=""/>
      <w:lvlJc w:val="left"/>
    </w:lvl>
    <w:lvl w:ilvl="2" w:tplc="A5183BA4">
      <w:numFmt w:val="decimal"/>
      <w:lvlText w:val=""/>
      <w:lvlJc w:val="left"/>
    </w:lvl>
    <w:lvl w:ilvl="3" w:tplc="86085FBC">
      <w:numFmt w:val="decimal"/>
      <w:lvlText w:val=""/>
      <w:lvlJc w:val="left"/>
    </w:lvl>
    <w:lvl w:ilvl="4" w:tplc="03DECC34">
      <w:numFmt w:val="decimal"/>
      <w:lvlText w:val=""/>
      <w:lvlJc w:val="left"/>
    </w:lvl>
    <w:lvl w:ilvl="5" w:tplc="7674A29C">
      <w:numFmt w:val="decimal"/>
      <w:lvlText w:val=""/>
      <w:lvlJc w:val="left"/>
    </w:lvl>
    <w:lvl w:ilvl="6" w:tplc="D6F89BBC">
      <w:numFmt w:val="decimal"/>
      <w:lvlText w:val=""/>
      <w:lvlJc w:val="left"/>
    </w:lvl>
    <w:lvl w:ilvl="7" w:tplc="F7E6B604">
      <w:numFmt w:val="decimal"/>
      <w:lvlText w:val=""/>
      <w:lvlJc w:val="left"/>
    </w:lvl>
    <w:lvl w:ilvl="8" w:tplc="3990DD3A">
      <w:numFmt w:val="decimal"/>
      <w:lvlText w:val=""/>
      <w:lvlJc w:val="left"/>
    </w:lvl>
  </w:abstractNum>
  <w:abstractNum w:abstractNumId="2">
    <w:nsid w:val="000026E9"/>
    <w:multiLevelType w:val="hybridMultilevel"/>
    <w:tmpl w:val="1512B586"/>
    <w:lvl w:ilvl="0" w:tplc="59101DB0">
      <w:start w:val="1"/>
      <w:numFmt w:val="bullet"/>
      <w:lvlText w:val="а"/>
      <w:lvlJc w:val="left"/>
    </w:lvl>
    <w:lvl w:ilvl="1" w:tplc="5D2CDCF6">
      <w:numFmt w:val="decimal"/>
      <w:lvlText w:val=""/>
      <w:lvlJc w:val="left"/>
    </w:lvl>
    <w:lvl w:ilvl="2" w:tplc="81E4B122">
      <w:numFmt w:val="decimal"/>
      <w:lvlText w:val=""/>
      <w:lvlJc w:val="left"/>
    </w:lvl>
    <w:lvl w:ilvl="3" w:tplc="0EF88866">
      <w:numFmt w:val="decimal"/>
      <w:lvlText w:val=""/>
      <w:lvlJc w:val="left"/>
    </w:lvl>
    <w:lvl w:ilvl="4" w:tplc="34C269CC">
      <w:numFmt w:val="decimal"/>
      <w:lvlText w:val=""/>
      <w:lvlJc w:val="left"/>
    </w:lvl>
    <w:lvl w:ilvl="5" w:tplc="3DB26436">
      <w:numFmt w:val="decimal"/>
      <w:lvlText w:val=""/>
      <w:lvlJc w:val="left"/>
    </w:lvl>
    <w:lvl w:ilvl="6" w:tplc="05060AE4">
      <w:numFmt w:val="decimal"/>
      <w:lvlText w:val=""/>
      <w:lvlJc w:val="left"/>
    </w:lvl>
    <w:lvl w:ilvl="7" w:tplc="25164558">
      <w:numFmt w:val="decimal"/>
      <w:lvlText w:val=""/>
      <w:lvlJc w:val="left"/>
    </w:lvl>
    <w:lvl w:ilvl="8" w:tplc="D146F2A8">
      <w:numFmt w:val="decimal"/>
      <w:lvlText w:val=""/>
      <w:lvlJc w:val="left"/>
    </w:lvl>
  </w:abstractNum>
  <w:abstractNum w:abstractNumId="3">
    <w:nsid w:val="000041BB"/>
    <w:multiLevelType w:val="hybridMultilevel"/>
    <w:tmpl w:val="93AA56AA"/>
    <w:lvl w:ilvl="0" w:tplc="501EFA98">
      <w:start w:val="1"/>
      <w:numFmt w:val="bullet"/>
      <w:lvlText w:val="-"/>
      <w:lvlJc w:val="left"/>
    </w:lvl>
    <w:lvl w:ilvl="1" w:tplc="50E6ED38">
      <w:numFmt w:val="decimal"/>
      <w:lvlText w:val=""/>
      <w:lvlJc w:val="left"/>
    </w:lvl>
    <w:lvl w:ilvl="2" w:tplc="04BAD09E">
      <w:numFmt w:val="decimal"/>
      <w:lvlText w:val=""/>
      <w:lvlJc w:val="left"/>
    </w:lvl>
    <w:lvl w:ilvl="3" w:tplc="DDEAD968">
      <w:numFmt w:val="decimal"/>
      <w:lvlText w:val=""/>
      <w:lvlJc w:val="left"/>
    </w:lvl>
    <w:lvl w:ilvl="4" w:tplc="0C06B4DA">
      <w:numFmt w:val="decimal"/>
      <w:lvlText w:val=""/>
      <w:lvlJc w:val="left"/>
    </w:lvl>
    <w:lvl w:ilvl="5" w:tplc="8E3C099A">
      <w:numFmt w:val="decimal"/>
      <w:lvlText w:val=""/>
      <w:lvlJc w:val="left"/>
    </w:lvl>
    <w:lvl w:ilvl="6" w:tplc="AEB0364E">
      <w:numFmt w:val="decimal"/>
      <w:lvlText w:val=""/>
      <w:lvlJc w:val="left"/>
    </w:lvl>
    <w:lvl w:ilvl="7" w:tplc="C30E8376">
      <w:numFmt w:val="decimal"/>
      <w:lvlText w:val=""/>
      <w:lvlJc w:val="left"/>
    </w:lvl>
    <w:lvl w:ilvl="8" w:tplc="DEB44750">
      <w:numFmt w:val="decimal"/>
      <w:lvlText w:val=""/>
      <w:lvlJc w:val="left"/>
    </w:lvl>
  </w:abstractNum>
  <w:abstractNum w:abstractNumId="4">
    <w:nsid w:val="00005AF1"/>
    <w:multiLevelType w:val="hybridMultilevel"/>
    <w:tmpl w:val="BF128C4E"/>
    <w:lvl w:ilvl="0" w:tplc="25F462C6">
      <w:start w:val="1"/>
      <w:numFmt w:val="bullet"/>
      <w:lvlText w:val="-"/>
      <w:lvlJc w:val="left"/>
    </w:lvl>
    <w:lvl w:ilvl="1" w:tplc="B8BEF780">
      <w:numFmt w:val="decimal"/>
      <w:lvlText w:val=""/>
      <w:lvlJc w:val="left"/>
    </w:lvl>
    <w:lvl w:ilvl="2" w:tplc="6C569BEC">
      <w:numFmt w:val="decimal"/>
      <w:lvlText w:val=""/>
      <w:lvlJc w:val="left"/>
    </w:lvl>
    <w:lvl w:ilvl="3" w:tplc="168E934A">
      <w:numFmt w:val="decimal"/>
      <w:lvlText w:val=""/>
      <w:lvlJc w:val="left"/>
    </w:lvl>
    <w:lvl w:ilvl="4" w:tplc="09BE29F6">
      <w:numFmt w:val="decimal"/>
      <w:lvlText w:val=""/>
      <w:lvlJc w:val="left"/>
    </w:lvl>
    <w:lvl w:ilvl="5" w:tplc="47307FE2">
      <w:numFmt w:val="decimal"/>
      <w:lvlText w:val=""/>
      <w:lvlJc w:val="left"/>
    </w:lvl>
    <w:lvl w:ilvl="6" w:tplc="A03C857E">
      <w:numFmt w:val="decimal"/>
      <w:lvlText w:val=""/>
      <w:lvlJc w:val="left"/>
    </w:lvl>
    <w:lvl w:ilvl="7" w:tplc="9638898E">
      <w:numFmt w:val="decimal"/>
      <w:lvlText w:val=""/>
      <w:lvlJc w:val="left"/>
    </w:lvl>
    <w:lvl w:ilvl="8" w:tplc="B706F9E6">
      <w:numFmt w:val="decimal"/>
      <w:lvlText w:val=""/>
      <w:lvlJc w:val="left"/>
    </w:lvl>
  </w:abstractNum>
  <w:abstractNum w:abstractNumId="5">
    <w:nsid w:val="00005F90"/>
    <w:multiLevelType w:val="hybridMultilevel"/>
    <w:tmpl w:val="5DA8817C"/>
    <w:lvl w:ilvl="0" w:tplc="D5DCE24E">
      <w:start w:val="1"/>
      <w:numFmt w:val="bullet"/>
      <w:lvlText w:val="и"/>
      <w:lvlJc w:val="left"/>
    </w:lvl>
    <w:lvl w:ilvl="1" w:tplc="788E3FF4">
      <w:start w:val="1"/>
      <w:numFmt w:val="bullet"/>
      <w:lvlText w:val="В"/>
      <w:lvlJc w:val="left"/>
    </w:lvl>
    <w:lvl w:ilvl="2" w:tplc="E21272B8">
      <w:numFmt w:val="decimal"/>
      <w:lvlText w:val=""/>
      <w:lvlJc w:val="left"/>
    </w:lvl>
    <w:lvl w:ilvl="3" w:tplc="82C09110">
      <w:numFmt w:val="decimal"/>
      <w:lvlText w:val=""/>
      <w:lvlJc w:val="left"/>
    </w:lvl>
    <w:lvl w:ilvl="4" w:tplc="BD6C8ABC">
      <w:numFmt w:val="decimal"/>
      <w:lvlText w:val=""/>
      <w:lvlJc w:val="left"/>
    </w:lvl>
    <w:lvl w:ilvl="5" w:tplc="C17A156E">
      <w:numFmt w:val="decimal"/>
      <w:lvlText w:val=""/>
      <w:lvlJc w:val="left"/>
    </w:lvl>
    <w:lvl w:ilvl="6" w:tplc="7C3ED4EE">
      <w:numFmt w:val="decimal"/>
      <w:lvlText w:val=""/>
      <w:lvlJc w:val="left"/>
    </w:lvl>
    <w:lvl w:ilvl="7" w:tplc="58C8631C">
      <w:numFmt w:val="decimal"/>
      <w:lvlText w:val=""/>
      <w:lvlJc w:val="left"/>
    </w:lvl>
    <w:lvl w:ilvl="8" w:tplc="C6BE1798">
      <w:numFmt w:val="decimal"/>
      <w:lvlText w:val=""/>
      <w:lvlJc w:val="left"/>
    </w:lvl>
  </w:abstractNum>
  <w:abstractNum w:abstractNumId="6">
    <w:nsid w:val="00006952"/>
    <w:multiLevelType w:val="hybridMultilevel"/>
    <w:tmpl w:val="83FE39A8"/>
    <w:lvl w:ilvl="0" w:tplc="56E26E8E">
      <w:start w:val="1"/>
      <w:numFmt w:val="bullet"/>
      <w:lvlText w:val="и"/>
      <w:lvlJc w:val="left"/>
    </w:lvl>
    <w:lvl w:ilvl="1" w:tplc="9C644C86">
      <w:numFmt w:val="decimal"/>
      <w:lvlText w:val=""/>
      <w:lvlJc w:val="left"/>
    </w:lvl>
    <w:lvl w:ilvl="2" w:tplc="42E25650">
      <w:numFmt w:val="decimal"/>
      <w:lvlText w:val=""/>
      <w:lvlJc w:val="left"/>
    </w:lvl>
    <w:lvl w:ilvl="3" w:tplc="962203A4">
      <w:numFmt w:val="decimal"/>
      <w:lvlText w:val=""/>
      <w:lvlJc w:val="left"/>
    </w:lvl>
    <w:lvl w:ilvl="4" w:tplc="2A7098D4">
      <w:numFmt w:val="decimal"/>
      <w:lvlText w:val=""/>
      <w:lvlJc w:val="left"/>
    </w:lvl>
    <w:lvl w:ilvl="5" w:tplc="93D2481A">
      <w:numFmt w:val="decimal"/>
      <w:lvlText w:val=""/>
      <w:lvlJc w:val="left"/>
    </w:lvl>
    <w:lvl w:ilvl="6" w:tplc="A1ACDE10">
      <w:numFmt w:val="decimal"/>
      <w:lvlText w:val=""/>
      <w:lvlJc w:val="left"/>
    </w:lvl>
    <w:lvl w:ilvl="7" w:tplc="B0122DB8">
      <w:numFmt w:val="decimal"/>
      <w:lvlText w:val=""/>
      <w:lvlJc w:val="left"/>
    </w:lvl>
    <w:lvl w:ilvl="8" w:tplc="5E9855EA">
      <w:numFmt w:val="decimal"/>
      <w:lvlText w:val=""/>
      <w:lvlJc w:val="left"/>
    </w:lvl>
  </w:abstractNum>
  <w:abstractNum w:abstractNumId="7">
    <w:nsid w:val="00006DF1"/>
    <w:multiLevelType w:val="hybridMultilevel"/>
    <w:tmpl w:val="9370C5E8"/>
    <w:lvl w:ilvl="0" w:tplc="0E22B140">
      <w:numFmt w:val="decimal"/>
      <w:lvlText w:val="%1"/>
      <w:lvlJc w:val="left"/>
    </w:lvl>
    <w:lvl w:ilvl="1" w:tplc="8D9E8E7C">
      <w:start w:val="1"/>
      <w:numFmt w:val="bullet"/>
      <w:lvlText w:val="-"/>
      <w:lvlJc w:val="left"/>
    </w:lvl>
    <w:lvl w:ilvl="2" w:tplc="C7DA6832">
      <w:numFmt w:val="decimal"/>
      <w:lvlText w:val=""/>
      <w:lvlJc w:val="left"/>
    </w:lvl>
    <w:lvl w:ilvl="3" w:tplc="B26A4426">
      <w:numFmt w:val="decimal"/>
      <w:lvlText w:val=""/>
      <w:lvlJc w:val="left"/>
    </w:lvl>
    <w:lvl w:ilvl="4" w:tplc="E4CC0EE2">
      <w:numFmt w:val="decimal"/>
      <w:lvlText w:val=""/>
      <w:lvlJc w:val="left"/>
    </w:lvl>
    <w:lvl w:ilvl="5" w:tplc="46BC0EB2">
      <w:numFmt w:val="decimal"/>
      <w:lvlText w:val=""/>
      <w:lvlJc w:val="left"/>
    </w:lvl>
    <w:lvl w:ilvl="6" w:tplc="15A6043C">
      <w:numFmt w:val="decimal"/>
      <w:lvlText w:val=""/>
      <w:lvlJc w:val="left"/>
    </w:lvl>
    <w:lvl w:ilvl="7" w:tplc="B1DCBA5E">
      <w:numFmt w:val="decimal"/>
      <w:lvlText w:val=""/>
      <w:lvlJc w:val="left"/>
    </w:lvl>
    <w:lvl w:ilvl="8" w:tplc="54AE308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2"/>
    <w:rsid w:val="000258DF"/>
    <w:rsid w:val="00116912"/>
    <w:rsid w:val="001C1C3D"/>
    <w:rsid w:val="002108AD"/>
    <w:rsid w:val="0034530B"/>
    <w:rsid w:val="003827DD"/>
    <w:rsid w:val="00461600"/>
    <w:rsid w:val="0067228A"/>
    <w:rsid w:val="00674AB9"/>
    <w:rsid w:val="008B1394"/>
    <w:rsid w:val="00903BF3"/>
    <w:rsid w:val="00A12EB2"/>
    <w:rsid w:val="00B517D6"/>
    <w:rsid w:val="00C32D7F"/>
    <w:rsid w:val="00DB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kk-KZ" w:eastAsia="kk-K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kk-KZ" w:eastAsia="kk-K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1614</Words>
  <Characters>9203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Natallia</cp:lastModifiedBy>
  <cp:revision>30</cp:revision>
  <dcterms:created xsi:type="dcterms:W3CDTF">2019-04-09T07:42:00Z</dcterms:created>
  <dcterms:modified xsi:type="dcterms:W3CDTF">2019-04-16T07:05:00Z</dcterms:modified>
</cp:coreProperties>
</file>